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5141" w14:textId="07E79DB6" w:rsidR="00D76DB0" w:rsidRPr="00742CBE" w:rsidRDefault="00F703A9" w:rsidP="00D76DB0">
      <w:pPr>
        <w:rPr>
          <w:rFonts w:ascii="Tahoma" w:hAnsi="Tahoma" w:cs="Tahoma"/>
          <w:color w:val="1D252D"/>
          <w:sz w:val="24"/>
          <w:szCs w:val="24"/>
        </w:rPr>
      </w:pPr>
      <w:r w:rsidRPr="00742CBE">
        <w:rPr>
          <w:rFonts w:ascii="Tahoma" w:hAnsi="Tahoma" w:cs="Tahoma"/>
          <w:b/>
          <w:bCs/>
          <w:color w:val="49C5B1"/>
          <w:sz w:val="36"/>
          <w:szCs w:val="36"/>
        </w:rPr>
        <w:t xml:space="preserve">Mental Health Bill </w:t>
      </w:r>
    </w:p>
    <w:p w14:paraId="608215FC" w14:textId="56294049" w:rsidR="00354189" w:rsidRPr="00742CBE" w:rsidRDefault="00474ADB" w:rsidP="0D4DE8CD">
      <w:pPr>
        <w:spacing w:after="0" w:line="240" w:lineRule="auto"/>
        <w:rPr>
          <w:rFonts w:ascii="Tahoma" w:hAnsi="Tahoma" w:cs="Tahoma"/>
          <w:b/>
          <w:bCs/>
          <w:color w:val="1D252D"/>
          <w:sz w:val="28"/>
          <w:szCs w:val="28"/>
        </w:rPr>
      </w:pPr>
      <w:r w:rsidRPr="00742CBE">
        <w:rPr>
          <w:rFonts w:ascii="Tahoma" w:hAnsi="Tahoma" w:cs="Tahoma"/>
          <w:b/>
          <w:bCs/>
          <w:color w:val="1D252D"/>
          <w:sz w:val="28"/>
          <w:szCs w:val="28"/>
        </w:rPr>
        <w:t>S</w:t>
      </w:r>
      <w:r w:rsidR="00F703A9" w:rsidRPr="00742CBE">
        <w:rPr>
          <w:rFonts w:ascii="Tahoma" w:hAnsi="Tahoma" w:cs="Tahoma"/>
          <w:b/>
          <w:bCs/>
          <w:color w:val="1D252D"/>
          <w:sz w:val="28"/>
          <w:szCs w:val="28"/>
        </w:rPr>
        <w:t>econd Reading Briefing</w:t>
      </w:r>
      <w:r w:rsidR="391C43D7" w:rsidRPr="00742CBE">
        <w:rPr>
          <w:rFonts w:ascii="Tahoma" w:hAnsi="Tahoma" w:cs="Tahoma"/>
          <w:b/>
          <w:bCs/>
          <w:color w:val="1D252D"/>
          <w:sz w:val="28"/>
          <w:szCs w:val="28"/>
        </w:rPr>
        <w:t xml:space="preserve">, House of </w:t>
      </w:r>
      <w:r w:rsidR="00941EAF" w:rsidRPr="00742CBE">
        <w:rPr>
          <w:rFonts w:ascii="Tahoma" w:hAnsi="Tahoma" w:cs="Tahoma"/>
          <w:b/>
          <w:bCs/>
          <w:color w:val="1D252D"/>
          <w:sz w:val="28"/>
          <w:szCs w:val="28"/>
        </w:rPr>
        <w:t>Commons</w:t>
      </w:r>
    </w:p>
    <w:p w14:paraId="7992499F" w14:textId="7F4535A1" w:rsidR="00F53CEB" w:rsidRPr="00742CBE" w:rsidRDefault="00301AEC" w:rsidP="0D4DE8CD">
      <w:pPr>
        <w:spacing w:after="0" w:line="240" w:lineRule="auto"/>
        <w:rPr>
          <w:rFonts w:ascii="Tahoma" w:hAnsi="Tahoma" w:cs="Tahoma"/>
          <w:color w:val="1D252D"/>
          <w:sz w:val="28"/>
          <w:szCs w:val="28"/>
        </w:rPr>
      </w:pPr>
      <w:r>
        <w:rPr>
          <w:rFonts w:ascii="Tahoma" w:hAnsi="Tahoma" w:cs="Tahoma"/>
          <w:sz w:val="28"/>
          <w:szCs w:val="28"/>
        </w:rPr>
        <w:t>Mon</w:t>
      </w:r>
      <w:r w:rsidR="6EEC1105" w:rsidRPr="00742CBE">
        <w:rPr>
          <w:rFonts w:ascii="Tahoma" w:hAnsi="Tahoma" w:cs="Tahoma"/>
          <w:sz w:val="28"/>
          <w:szCs w:val="28"/>
        </w:rPr>
        <w:t xml:space="preserve">day </w:t>
      </w:r>
      <w:r w:rsidR="002A5370" w:rsidRPr="00742CBE">
        <w:rPr>
          <w:rFonts w:ascii="Tahoma" w:hAnsi="Tahoma" w:cs="Tahoma"/>
          <w:sz w:val="28"/>
          <w:szCs w:val="28"/>
        </w:rPr>
        <w:t>19</w:t>
      </w:r>
      <w:r w:rsidR="002A5370" w:rsidRPr="00742CBE">
        <w:rPr>
          <w:rFonts w:ascii="Tahoma" w:hAnsi="Tahoma" w:cs="Tahoma"/>
          <w:sz w:val="28"/>
          <w:szCs w:val="28"/>
          <w:vertAlign w:val="superscript"/>
        </w:rPr>
        <w:t>th</w:t>
      </w:r>
      <w:r w:rsidR="002A5370" w:rsidRPr="00742CBE">
        <w:rPr>
          <w:rFonts w:ascii="Tahoma" w:hAnsi="Tahoma" w:cs="Tahoma"/>
          <w:sz w:val="28"/>
          <w:szCs w:val="28"/>
        </w:rPr>
        <w:t xml:space="preserve"> </w:t>
      </w:r>
      <w:r w:rsidR="00941EAF" w:rsidRPr="00742CBE">
        <w:rPr>
          <w:rFonts w:ascii="Tahoma" w:hAnsi="Tahoma" w:cs="Tahoma"/>
          <w:sz w:val="28"/>
          <w:szCs w:val="28"/>
        </w:rPr>
        <w:t>May</w:t>
      </w:r>
      <w:r w:rsidR="00941EAF" w:rsidRPr="00742CBE">
        <w:rPr>
          <w:rFonts w:ascii="Tahoma" w:hAnsi="Tahoma" w:cs="Tahoma"/>
          <w:color w:val="1D252D"/>
          <w:sz w:val="28"/>
          <w:szCs w:val="28"/>
        </w:rPr>
        <w:t xml:space="preserve"> 2025</w:t>
      </w:r>
    </w:p>
    <w:p w14:paraId="556E1433" w14:textId="77777777" w:rsidR="001B4EAF" w:rsidRDefault="001B4EAF" w:rsidP="0D4DE8CD">
      <w:pPr>
        <w:spacing w:after="0" w:line="240" w:lineRule="auto"/>
        <w:rPr>
          <w:rFonts w:ascii="Tahoma" w:hAnsi="Tahoma" w:cs="Tahoma"/>
          <w:b/>
          <w:bCs/>
          <w:color w:val="1D252D"/>
          <w:sz w:val="24"/>
          <w:szCs w:val="24"/>
        </w:rPr>
      </w:pPr>
    </w:p>
    <w:p w14:paraId="41CB524D" w14:textId="5687B171" w:rsidR="001B4EAF" w:rsidRPr="00247FBD" w:rsidRDefault="00D30322" w:rsidP="00F2104E">
      <w:pPr>
        <w:spacing w:after="0"/>
        <w:rPr>
          <w:rFonts w:ascii="Tahoma" w:hAnsi="Tahoma" w:cs="Tahoma"/>
        </w:rPr>
      </w:pPr>
      <w:r w:rsidRPr="00247FBD">
        <w:rPr>
          <w:rFonts w:ascii="Tahoma" w:hAnsi="Tahoma" w:cs="Tahoma"/>
        </w:rPr>
        <w:t>This briefing highlights Centre for Mental Health’s key concerns and recommendations regarding the Mental Health Bill</w:t>
      </w:r>
      <w:r w:rsidR="00CE3747" w:rsidRPr="00247FBD">
        <w:rPr>
          <w:rFonts w:ascii="Tahoma" w:hAnsi="Tahoma" w:cs="Tahoma"/>
        </w:rPr>
        <w:t xml:space="preserve"> as it passes through the House of Commons</w:t>
      </w:r>
      <w:r w:rsidRPr="00247FBD">
        <w:rPr>
          <w:rFonts w:ascii="Tahoma" w:hAnsi="Tahoma" w:cs="Tahoma"/>
        </w:rPr>
        <w:t>. We welcome its introduction as a vital step toward reforming the Mental Health Act 1983, with the aim of strengthening rights, reducing inequalities, and improving mental health outcomes for everyone.</w:t>
      </w:r>
    </w:p>
    <w:p w14:paraId="4E5AC953" w14:textId="2F619C66" w:rsidR="0D4DE8CD" w:rsidRDefault="0D4DE8CD" w:rsidP="00F2104E">
      <w:pPr>
        <w:spacing w:after="0" w:line="240" w:lineRule="auto"/>
        <w:rPr>
          <w:rFonts w:ascii="Tahoma" w:hAnsi="Tahoma" w:cs="Tahoma"/>
          <w:color w:val="1D252D"/>
          <w:sz w:val="24"/>
          <w:szCs w:val="24"/>
        </w:rPr>
      </w:pPr>
    </w:p>
    <w:tbl>
      <w:tblPr>
        <w:tblStyle w:val="TableGrid"/>
        <w:tblW w:w="0" w:type="auto"/>
        <w:tblLook w:val="04A0" w:firstRow="1" w:lastRow="0" w:firstColumn="1" w:lastColumn="0" w:noHBand="0" w:noVBand="1"/>
      </w:tblPr>
      <w:tblGrid>
        <w:gridCol w:w="9016"/>
      </w:tblGrid>
      <w:tr w:rsidR="006379FB" w14:paraId="0EA68CF2" w14:textId="77777777" w:rsidTr="02DD4B08">
        <w:tc>
          <w:tcPr>
            <w:tcW w:w="9016" w:type="dxa"/>
          </w:tcPr>
          <w:p w14:paraId="48D377B4" w14:textId="77777777" w:rsidR="006379FB" w:rsidRPr="001A4488" w:rsidRDefault="006379FB" w:rsidP="006379FB">
            <w:pPr>
              <w:rPr>
                <w:rFonts w:ascii="Tahoma" w:hAnsi="Tahoma" w:cs="Tahoma"/>
                <w:b/>
                <w:bCs/>
              </w:rPr>
            </w:pPr>
            <w:r>
              <w:rPr>
                <w:rFonts w:ascii="Tahoma" w:hAnsi="Tahoma" w:cs="Tahoma"/>
                <w:b/>
                <w:bCs/>
              </w:rPr>
              <w:t>Summary:</w:t>
            </w:r>
          </w:p>
          <w:p w14:paraId="5F4B9368" w14:textId="77777777" w:rsidR="00C92089" w:rsidRDefault="006379FB" w:rsidP="006379FB">
            <w:pPr>
              <w:pStyle w:val="ListParagraph"/>
              <w:numPr>
                <w:ilvl w:val="0"/>
                <w:numId w:val="19"/>
              </w:numPr>
              <w:spacing w:line="276" w:lineRule="auto"/>
              <w:ind w:left="360"/>
              <w:rPr>
                <w:rFonts w:ascii="Tahoma" w:eastAsia="Times New Roman" w:hAnsi="Tahoma" w:cs="Tahoma"/>
                <w:lang w:eastAsia="en-GB"/>
              </w:rPr>
            </w:pPr>
            <w:r w:rsidRPr="006379FB">
              <w:rPr>
                <w:rFonts w:ascii="Tahoma" w:eastAsia="Times New Roman" w:hAnsi="Tahoma" w:cs="Tahoma"/>
                <w:lang w:eastAsia="en-GB"/>
              </w:rPr>
              <w:t>Centre for Mental Health welcomes the introduction of the Mental Health Bill as an important step towards improving care and treatment for people detained under the Mental Health Act.</w:t>
            </w:r>
            <w:r w:rsidR="00EE61FF">
              <w:rPr>
                <w:rFonts w:ascii="Tahoma" w:eastAsia="Times New Roman" w:hAnsi="Tahoma" w:cs="Tahoma"/>
                <w:lang w:eastAsia="en-GB"/>
              </w:rPr>
              <w:t xml:space="preserve"> </w:t>
            </w:r>
            <w:r w:rsidR="00C92089" w:rsidRPr="00C92089">
              <w:rPr>
                <w:rFonts w:ascii="Tahoma" w:eastAsia="Times New Roman" w:hAnsi="Tahoma" w:cs="Tahoma"/>
                <w:lang w:eastAsia="en-GB"/>
              </w:rPr>
              <w:t>As the Bill progresses through the House of Commons, we believe there are key areas that warrant further attention to ensure it delivers on its promise of a fairer, more rights-based mental health system.</w:t>
            </w:r>
          </w:p>
          <w:p w14:paraId="285F3A5B" w14:textId="5D18E2F6" w:rsidR="006379FB" w:rsidRPr="006379FB" w:rsidRDefault="00C92089" w:rsidP="006379FB">
            <w:pPr>
              <w:pStyle w:val="ListParagraph"/>
              <w:numPr>
                <w:ilvl w:val="0"/>
                <w:numId w:val="19"/>
              </w:numPr>
              <w:spacing w:line="276" w:lineRule="auto"/>
              <w:ind w:left="360"/>
              <w:rPr>
                <w:rFonts w:ascii="Tahoma" w:eastAsia="Times New Roman" w:hAnsi="Tahoma" w:cs="Tahoma"/>
                <w:lang w:eastAsia="en-GB"/>
              </w:rPr>
            </w:pPr>
            <w:r>
              <w:rPr>
                <w:rFonts w:ascii="Tahoma" w:eastAsia="Times New Roman" w:hAnsi="Tahoma" w:cs="Tahoma"/>
                <w:lang w:eastAsia="en-GB"/>
              </w:rPr>
              <w:t>Firstly, w</w:t>
            </w:r>
            <w:r w:rsidR="006379FB" w:rsidRPr="006379FB">
              <w:rPr>
                <w:rFonts w:ascii="Tahoma" w:eastAsia="Times New Roman" w:hAnsi="Tahoma" w:cs="Tahoma"/>
                <w:lang w:eastAsia="en-GB"/>
              </w:rPr>
              <w:t>e are concerned by the proposed expansion of 'authorised persons' who can carry out detentions under sections 135 and 136, which could place additional pressure on an already stretched health workforce and compromise safety. We urge the Government to pause this change and instead co-produce alternative solutions with experts</w:t>
            </w:r>
            <w:r w:rsidR="00434DC2">
              <w:rPr>
                <w:rFonts w:ascii="Tahoma" w:eastAsia="Times New Roman" w:hAnsi="Tahoma" w:cs="Tahoma"/>
                <w:lang w:eastAsia="en-GB"/>
              </w:rPr>
              <w:t>, including experts by experience</w:t>
            </w:r>
            <w:r w:rsidR="006379FB" w:rsidRPr="006379FB">
              <w:rPr>
                <w:rFonts w:ascii="Tahoma" w:eastAsia="Times New Roman" w:hAnsi="Tahoma" w:cs="Tahoma"/>
                <w:lang w:eastAsia="en-GB"/>
              </w:rPr>
              <w:t>.</w:t>
            </w:r>
          </w:p>
          <w:p w14:paraId="684E7485" w14:textId="77777777" w:rsidR="006379FB" w:rsidRPr="006379FB" w:rsidRDefault="006379FB" w:rsidP="006379FB">
            <w:pPr>
              <w:pStyle w:val="ListParagraph"/>
              <w:numPr>
                <w:ilvl w:val="0"/>
                <w:numId w:val="19"/>
              </w:numPr>
              <w:spacing w:line="276" w:lineRule="auto"/>
              <w:ind w:left="360"/>
              <w:rPr>
                <w:rFonts w:ascii="Tahoma" w:eastAsia="Times New Roman" w:hAnsi="Tahoma" w:cs="Tahoma"/>
                <w:lang w:eastAsia="en-GB"/>
              </w:rPr>
            </w:pPr>
            <w:r w:rsidRPr="006379FB">
              <w:rPr>
                <w:rFonts w:ascii="Tahoma" w:eastAsia="Times New Roman" w:hAnsi="Tahoma" w:cs="Tahoma"/>
                <w:lang w:eastAsia="en-GB"/>
              </w:rPr>
              <w:t>The Bill falls short in tackling the long-standing racial disparities in how the Mental Health Act is applied. We support calls to place the Patient and Carer Race Equality Framework (PCREF) on a statutory footing and introduce a Responsible Person role to ensure accountability for progress in eliminating racial injustice.</w:t>
            </w:r>
          </w:p>
          <w:p w14:paraId="24D90CC0" w14:textId="1BA8E164" w:rsidR="006379FB" w:rsidRPr="006379FB" w:rsidRDefault="006379FB" w:rsidP="006379FB">
            <w:pPr>
              <w:pStyle w:val="ListParagraph"/>
              <w:numPr>
                <w:ilvl w:val="0"/>
                <w:numId w:val="19"/>
              </w:numPr>
              <w:spacing w:line="276" w:lineRule="auto"/>
              <w:ind w:left="360"/>
              <w:rPr>
                <w:rFonts w:ascii="Tahoma" w:eastAsia="Times New Roman" w:hAnsi="Tahoma" w:cs="Tahoma"/>
                <w:lang w:eastAsia="en-GB"/>
              </w:rPr>
            </w:pPr>
            <w:r w:rsidRPr="006379FB">
              <w:rPr>
                <w:rFonts w:ascii="Tahoma" w:eastAsia="Times New Roman" w:hAnsi="Tahoma" w:cs="Tahoma"/>
                <w:lang w:eastAsia="en-GB"/>
              </w:rPr>
              <w:t>While we welcome the</w:t>
            </w:r>
            <w:r w:rsidR="00434DC2">
              <w:rPr>
                <w:rFonts w:ascii="Tahoma" w:eastAsia="Times New Roman" w:hAnsi="Tahoma" w:cs="Tahoma"/>
                <w:lang w:eastAsia="en-GB"/>
              </w:rPr>
              <w:t xml:space="preserve"> amendment to introduce</w:t>
            </w:r>
            <w:r w:rsidRPr="006379FB">
              <w:rPr>
                <w:rFonts w:ascii="Tahoma" w:eastAsia="Times New Roman" w:hAnsi="Tahoma" w:cs="Tahoma"/>
                <w:lang w:eastAsia="en-GB"/>
              </w:rPr>
              <w:t xml:space="preserve"> new safeguards for Community Treatment Orders (CTOs), including a maximum 12-month duration and second opinion requirement, we believe that this oversight should extend beyond psychiatrists to include other qualified professionals such as Approved Mental Health Professionals (AMHPs). We also call for access to advocacy to be guaranteed for people on CTOs and recommend an independent review of their effectiveness and equity within five years.</w:t>
            </w:r>
          </w:p>
          <w:p w14:paraId="35CAF3F3" w14:textId="44D65375" w:rsidR="006379FB" w:rsidRPr="006379FB" w:rsidRDefault="6E284929" w:rsidP="006379FB">
            <w:pPr>
              <w:pStyle w:val="ListParagraph"/>
              <w:numPr>
                <w:ilvl w:val="0"/>
                <w:numId w:val="19"/>
              </w:numPr>
              <w:spacing w:line="276" w:lineRule="auto"/>
              <w:ind w:left="360"/>
              <w:rPr>
                <w:rFonts w:ascii="Tahoma" w:eastAsia="Times New Roman" w:hAnsi="Tahoma" w:cs="Tahoma"/>
                <w:lang w:eastAsia="en-GB"/>
              </w:rPr>
            </w:pPr>
            <w:r w:rsidRPr="02DD4B08">
              <w:rPr>
                <w:rFonts w:ascii="Tahoma" w:eastAsia="Times New Roman" w:hAnsi="Tahoma" w:cs="Tahoma"/>
                <w:lang w:eastAsia="en-GB"/>
              </w:rPr>
              <w:t>We support strengthening transparency around Independent Mental Health</w:t>
            </w:r>
            <w:r w:rsidR="1229F7CB" w:rsidRPr="02DD4B08">
              <w:rPr>
                <w:rFonts w:ascii="Tahoma" w:eastAsia="Times New Roman" w:hAnsi="Tahoma" w:cs="Tahoma"/>
                <w:lang w:eastAsia="en-GB"/>
              </w:rPr>
              <w:t xml:space="preserve"> Act</w:t>
            </w:r>
            <w:r w:rsidRPr="02DD4B08">
              <w:rPr>
                <w:rFonts w:ascii="Tahoma" w:eastAsia="Times New Roman" w:hAnsi="Tahoma" w:cs="Tahoma"/>
                <w:lang w:eastAsia="en-GB"/>
              </w:rPr>
              <w:t xml:space="preserve"> Advoca</w:t>
            </w:r>
            <w:r w:rsidR="475397B4" w:rsidRPr="02DD4B08">
              <w:rPr>
                <w:rFonts w:ascii="Tahoma" w:eastAsia="Times New Roman" w:hAnsi="Tahoma" w:cs="Tahoma"/>
                <w:lang w:eastAsia="en-GB"/>
              </w:rPr>
              <w:t>cy</w:t>
            </w:r>
            <w:r w:rsidRPr="02DD4B08">
              <w:rPr>
                <w:rFonts w:ascii="Tahoma" w:eastAsia="Times New Roman" w:hAnsi="Tahoma" w:cs="Tahoma"/>
                <w:lang w:eastAsia="en-GB"/>
              </w:rPr>
              <w:t xml:space="preserve"> (IMH</w:t>
            </w:r>
            <w:r w:rsidR="7195CC59" w:rsidRPr="02DD4B08">
              <w:rPr>
                <w:rFonts w:ascii="Tahoma" w:eastAsia="Times New Roman" w:hAnsi="Tahoma" w:cs="Tahoma"/>
                <w:lang w:eastAsia="en-GB"/>
              </w:rPr>
              <w:t>A</w:t>
            </w:r>
            <w:r w:rsidRPr="02DD4B08">
              <w:rPr>
                <w:rFonts w:ascii="Tahoma" w:eastAsia="Times New Roman" w:hAnsi="Tahoma" w:cs="Tahoma"/>
                <w:lang w:eastAsia="en-GB"/>
              </w:rPr>
              <w:t>) services by requiring annual reporting of access and uptake data, broken down by demographics. This will help ensure equitable access, monitor progress towards reform goals, and uphold people’s rights.</w:t>
            </w:r>
          </w:p>
          <w:p w14:paraId="45FD6EB8" w14:textId="77777777" w:rsidR="006379FB" w:rsidRPr="006379FB" w:rsidRDefault="006379FB" w:rsidP="006379FB">
            <w:pPr>
              <w:pStyle w:val="ListParagraph"/>
              <w:numPr>
                <w:ilvl w:val="0"/>
                <w:numId w:val="19"/>
              </w:numPr>
              <w:spacing w:line="276" w:lineRule="auto"/>
              <w:ind w:left="360"/>
              <w:rPr>
                <w:rFonts w:ascii="Tahoma" w:eastAsia="Times New Roman" w:hAnsi="Tahoma" w:cs="Tahoma"/>
                <w:lang w:eastAsia="en-GB"/>
              </w:rPr>
            </w:pPr>
            <w:r w:rsidRPr="006379FB">
              <w:rPr>
                <w:rFonts w:ascii="Tahoma" w:eastAsia="Times New Roman" w:hAnsi="Tahoma" w:cs="Tahoma"/>
                <w:lang w:eastAsia="en-GB"/>
              </w:rPr>
              <w:t>The Bill must do more to protect people’s housing rights during detention, ensuring no one is discharged into homelessness or left in hospital due to unavailable accommodation. A statutory duty on health and local authorities would secure the necessary safeguards.</w:t>
            </w:r>
          </w:p>
          <w:p w14:paraId="268D6096" w14:textId="77777777" w:rsidR="006379FB" w:rsidRPr="006379FB" w:rsidRDefault="006379FB" w:rsidP="006379FB">
            <w:pPr>
              <w:spacing w:line="276" w:lineRule="auto"/>
              <w:rPr>
                <w:rFonts w:ascii="Tahoma" w:eastAsia="Times New Roman" w:hAnsi="Tahoma" w:cs="Tahoma"/>
                <w:lang w:eastAsia="en-GB"/>
              </w:rPr>
            </w:pPr>
          </w:p>
          <w:p w14:paraId="2974143E" w14:textId="66AA1FC1" w:rsidR="00434DC2" w:rsidRPr="00434DC2" w:rsidRDefault="006379FB" w:rsidP="00434DC2">
            <w:pPr>
              <w:pStyle w:val="ListParagraph"/>
              <w:numPr>
                <w:ilvl w:val="0"/>
                <w:numId w:val="19"/>
              </w:numPr>
              <w:spacing w:line="276" w:lineRule="auto"/>
              <w:ind w:left="357" w:hanging="357"/>
              <w:rPr>
                <w:rFonts w:ascii="Tahoma" w:eastAsia="Times New Roman" w:hAnsi="Tahoma" w:cs="Tahoma"/>
                <w:lang w:eastAsia="en-GB"/>
              </w:rPr>
            </w:pPr>
            <w:r w:rsidRPr="006379FB">
              <w:rPr>
                <w:rFonts w:ascii="Tahoma" w:eastAsia="Times New Roman" w:hAnsi="Tahoma" w:cs="Tahoma"/>
                <w:lang w:eastAsia="en-GB"/>
              </w:rPr>
              <w:lastRenderedPageBreak/>
              <w:t>We welcome the Bill’s prison transfer provisions and call for NHS England to be clearly designated as responsible for securing beds and coordinating admissions, ensuring timely care for people in custody.</w:t>
            </w:r>
          </w:p>
          <w:p w14:paraId="39ED1B57" w14:textId="09033285" w:rsidR="006379FB" w:rsidRPr="00434DC2" w:rsidRDefault="006379FB" w:rsidP="00434DC2">
            <w:pPr>
              <w:pStyle w:val="ListParagraph"/>
              <w:numPr>
                <w:ilvl w:val="0"/>
                <w:numId w:val="19"/>
              </w:numPr>
              <w:spacing w:line="276" w:lineRule="auto"/>
              <w:ind w:left="360"/>
              <w:rPr>
                <w:rFonts w:ascii="Tahoma" w:eastAsia="Times New Roman" w:hAnsi="Tahoma" w:cs="Tahoma"/>
                <w:lang w:eastAsia="en-GB"/>
              </w:rPr>
            </w:pPr>
            <w:r w:rsidRPr="00434DC2">
              <w:rPr>
                <w:rFonts w:ascii="Tahoma" w:eastAsia="Times New Roman" w:hAnsi="Tahoma" w:cs="Tahoma"/>
                <w:lang w:eastAsia="en-GB"/>
              </w:rPr>
              <w:t>Additionally, legislative reform must be matched with broader investment and structural changes. This includes revenue and capital funding for community-based services, a comprehensive mental health workforce strategy across all sectors, and the appointment of a statutory Mental Health Commissioner to oversee implementation and hold the system to account.</w:t>
            </w:r>
          </w:p>
          <w:p w14:paraId="611EDAC2" w14:textId="0124814B" w:rsidR="006379FB" w:rsidRPr="006379FB" w:rsidRDefault="00F82726" w:rsidP="006379FB">
            <w:pPr>
              <w:pStyle w:val="ListParagraph"/>
              <w:numPr>
                <w:ilvl w:val="0"/>
                <w:numId w:val="19"/>
              </w:numPr>
              <w:spacing w:line="276" w:lineRule="auto"/>
              <w:ind w:left="360"/>
              <w:rPr>
                <w:rFonts w:ascii="Tahoma" w:eastAsia="Times New Roman" w:hAnsi="Tahoma" w:cs="Tahoma"/>
                <w:lang w:eastAsia="en-GB"/>
              </w:rPr>
            </w:pPr>
            <w:r>
              <w:rPr>
                <w:rFonts w:ascii="Tahoma" w:eastAsia="Times New Roman" w:hAnsi="Tahoma" w:cs="Tahoma"/>
                <w:lang w:eastAsia="en-GB"/>
              </w:rPr>
              <w:t>Finally, Centre for Mental Health</w:t>
            </w:r>
            <w:r w:rsidR="006379FB" w:rsidRPr="006379FB">
              <w:rPr>
                <w:rFonts w:ascii="Tahoma" w:eastAsia="Times New Roman" w:hAnsi="Tahoma" w:cs="Tahoma"/>
                <w:lang w:eastAsia="en-GB"/>
              </w:rPr>
              <w:t xml:space="preserve"> also endorse</w:t>
            </w:r>
            <w:r>
              <w:rPr>
                <w:rFonts w:ascii="Tahoma" w:eastAsia="Times New Roman" w:hAnsi="Tahoma" w:cs="Tahoma"/>
                <w:lang w:eastAsia="en-GB"/>
              </w:rPr>
              <w:t>s</w:t>
            </w:r>
            <w:r w:rsidR="006379FB" w:rsidRPr="006379FB">
              <w:rPr>
                <w:rFonts w:ascii="Tahoma" w:eastAsia="Times New Roman" w:hAnsi="Tahoma" w:cs="Tahoma"/>
                <w:lang w:eastAsia="en-GB"/>
              </w:rPr>
              <w:t xml:space="preserve"> recommendations from the Children and Young People’s Mental Health Coalition that seek to strengthen safeguards and ensure age-appropriate care for </w:t>
            </w:r>
            <w:r>
              <w:rPr>
                <w:rFonts w:ascii="Tahoma" w:eastAsia="Times New Roman" w:hAnsi="Tahoma" w:cs="Tahoma"/>
                <w:lang w:eastAsia="en-GB"/>
              </w:rPr>
              <w:t xml:space="preserve">all children and </w:t>
            </w:r>
            <w:r w:rsidR="006379FB" w:rsidRPr="006379FB">
              <w:rPr>
                <w:rFonts w:ascii="Tahoma" w:eastAsia="Times New Roman" w:hAnsi="Tahoma" w:cs="Tahoma"/>
                <w:lang w:eastAsia="en-GB"/>
              </w:rPr>
              <w:t>young people.</w:t>
            </w:r>
          </w:p>
          <w:p w14:paraId="009C7E51" w14:textId="77777777" w:rsidR="006379FB" w:rsidRDefault="006379FB" w:rsidP="00F2104E">
            <w:pPr>
              <w:rPr>
                <w:rFonts w:ascii="Tahoma" w:hAnsi="Tahoma" w:cs="Tahoma"/>
                <w:color w:val="1D252D"/>
                <w:sz w:val="24"/>
                <w:szCs w:val="24"/>
              </w:rPr>
            </w:pPr>
          </w:p>
        </w:tc>
      </w:tr>
    </w:tbl>
    <w:p w14:paraId="39ACD548" w14:textId="77777777" w:rsidR="00CC5D67" w:rsidRPr="00CC5D67" w:rsidRDefault="00CC5D67" w:rsidP="00CC5D67">
      <w:pPr>
        <w:spacing w:after="0" w:line="276" w:lineRule="auto"/>
        <w:rPr>
          <w:rFonts w:ascii="Tahoma" w:eastAsia="Times New Roman" w:hAnsi="Tahoma" w:cs="Tahoma"/>
          <w:color w:val="EE0000"/>
          <w:lang w:eastAsia="en-GB"/>
        </w:rPr>
      </w:pPr>
    </w:p>
    <w:p w14:paraId="60308CC5" w14:textId="58894CA9" w:rsidR="00F14E4F" w:rsidRPr="00F14E4F" w:rsidRDefault="00F14E4F" w:rsidP="00F14E4F">
      <w:pPr>
        <w:rPr>
          <w:rFonts w:ascii="Tahoma" w:hAnsi="Tahoma" w:cs="Tahoma"/>
          <w:b/>
          <w:bCs/>
          <w:i/>
          <w:iCs/>
        </w:rPr>
      </w:pPr>
      <w:r w:rsidRPr="00F14E4F">
        <w:rPr>
          <w:rFonts w:ascii="Tahoma" w:hAnsi="Tahoma" w:cs="Tahoma"/>
          <w:b/>
          <w:bCs/>
          <w:i/>
          <w:iCs/>
        </w:rPr>
        <w:t xml:space="preserve">Proposed </w:t>
      </w:r>
      <w:r w:rsidR="003535A4">
        <w:rPr>
          <w:rFonts w:ascii="Tahoma" w:hAnsi="Tahoma" w:cs="Tahoma"/>
          <w:b/>
          <w:bCs/>
          <w:i/>
          <w:iCs/>
        </w:rPr>
        <w:t>e</w:t>
      </w:r>
      <w:r w:rsidRPr="00F14E4F">
        <w:rPr>
          <w:rFonts w:ascii="Tahoma" w:hAnsi="Tahoma" w:cs="Tahoma"/>
          <w:b/>
          <w:bCs/>
          <w:i/>
          <w:iCs/>
        </w:rPr>
        <w:t>xpansion of ‘Authorised Persons’</w:t>
      </w:r>
    </w:p>
    <w:p w14:paraId="41953BB5" w14:textId="72ADC5F4" w:rsidR="00F14E4F" w:rsidRPr="00F14E4F" w:rsidRDefault="00F14E4F" w:rsidP="00F14E4F">
      <w:pPr>
        <w:spacing w:line="276" w:lineRule="auto"/>
        <w:rPr>
          <w:rFonts w:ascii="Tahoma" w:hAnsi="Tahoma" w:cs="Tahoma"/>
        </w:rPr>
      </w:pPr>
      <w:r w:rsidRPr="00F14E4F">
        <w:rPr>
          <w:rFonts w:ascii="Tahoma" w:hAnsi="Tahoma" w:cs="Tahoma"/>
        </w:rPr>
        <w:t>An amendment introduced by Lord Kamall in the House of Lords seeks to expand the category of ‘authorised persons’ able to carry out detentions under sections 135 and 136 of the Mental Health Act</w:t>
      </w:r>
      <w:r>
        <w:rPr>
          <w:rFonts w:ascii="Tahoma" w:hAnsi="Tahoma" w:cs="Tahoma"/>
        </w:rPr>
        <w:t xml:space="preserve">, </w:t>
      </w:r>
      <w:r w:rsidRPr="00F14E4F">
        <w:rPr>
          <w:rFonts w:ascii="Tahoma" w:hAnsi="Tahoma" w:cs="Tahoma"/>
        </w:rPr>
        <w:t>powers currently reserved for the police. This would include a broad group of health professionals, such as approved mental health professionals and mental health nurses. While we fully support efforts to reduce unnecessary police involvement in mental health crises</w:t>
      </w:r>
      <w:r>
        <w:rPr>
          <w:rFonts w:ascii="Tahoma" w:hAnsi="Tahoma" w:cs="Tahoma"/>
        </w:rPr>
        <w:t xml:space="preserve">, </w:t>
      </w:r>
      <w:r w:rsidRPr="00F14E4F">
        <w:rPr>
          <w:rFonts w:ascii="Tahoma" w:hAnsi="Tahoma" w:cs="Tahoma"/>
        </w:rPr>
        <w:t>particularly where there is no immediate risk or criminal concern</w:t>
      </w:r>
      <w:r>
        <w:rPr>
          <w:rFonts w:ascii="Tahoma" w:hAnsi="Tahoma" w:cs="Tahoma"/>
        </w:rPr>
        <w:t xml:space="preserve">, </w:t>
      </w:r>
      <w:r w:rsidRPr="00F14E4F">
        <w:rPr>
          <w:rFonts w:ascii="Tahoma" w:hAnsi="Tahoma" w:cs="Tahoma"/>
        </w:rPr>
        <w:t>we are concerned that this amendment may have unintended consequences. It risks placing additional pressure on an already overstretched mental health workforce and could raise safety concerns for both people in crisis and the practitioners responding to them.</w:t>
      </w:r>
    </w:p>
    <w:p w14:paraId="152055F0" w14:textId="5F26B448" w:rsidR="00F14E4F" w:rsidRDefault="00F14E4F" w:rsidP="00F14E4F">
      <w:pPr>
        <w:spacing w:line="276" w:lineRule="auto"/>
        <w:rPr>
          <w:rFonts w:ascii="Tahoma" w:hAnsi="Tahoma" w:cs="Tahoma"/>
        </w:rPr>
      </w:pPr>
      <w:r w:rsidRPr="00F14E4F">
        <w:rPr>
          <w:rFonts w:ascii="Tahoma" w:hAnsi="Tahoma" w:cs="Tahoma"/>
        </w:rPr>
        <w:t>We urge members of the House of Commons and the Government to reconsider this amendment. Instead, we recommend commissioning a comprehensive review</w:t>
      </w:r>
      <w:r>
        <w:rPr>
          <w:rFonts w:ascii="Tahoma" w:hAnsi="Tahoma" w:cs="Tahoma"/>
        </w:rPr>
        <w:t xml:space="preserve">, </w:t>
      </w:r>
      <w:r w:rsidRPr="00F14E4F">
        <w:rPr>
          <w:rFonts w:ascii="Tahoma" w:hAnsi="Tahoma" w:cs="Tahoma"/>
        </w:rPr>
        <w:t>co-produced with people with lived experience, mental health professionals, police, and relevant health and social care partners</w:t>
      </w:r>
      <w:r>
        <w:rPr>
          <w:rFonts w:ascii="Tahoma" w:hAnsi="Tahoma" w:cs="Tahoma"/>
        </w:rPr>
        <w:t xml:space="preserve"> </w:t>
      </w:r>
      <w:r w:rsidRPr="00F14E4F">
        <w:rPr>
          <w:rFonts w:ascii="Tahoma" w:hAnsi="Tahoma" w:cs="Tahoma"/>
        </w:rPr>
        <w:t>to develop safe, sustainable alternatives that reduce police involvement while ensuring appropriate expertise and risk management are in place.</w:t>
      </w:r>
    </w:p>
    <w:p w14:paraId="025E124C" w14:textId="106EC4B4" w:rsidR="00F14E4F" w:rsidRPr="008626E1" w:rsidRDefault="00F14E4F" w:rsidP="00F14E4F">
      <w:pPr>
        <w:spacing w:line="276" w:lineRule="auto"/>
        <w:rPr>
          <w:rFonts w:ascii="Tahoma" w:hAnsi="Tahoma" w:cs="Tahoma"/>
          <w:b/>
          <w:bCs/>
          <w:i/>
          <w:iCs/>
        </w:rPr>
      </w:pPr>
      <w:r w:rsidRPr="008626E1">
        <w:rPr>
          <w:rFonts w:ascii="Tahoma" w:hAnsi="Tahoma" w:cs="Tahoma"/>
          <w:b/>
          <w:bCs/>
          <w:i/>
          <w:iCs/>
        </w:rPr>
        <w:t>Racial justice and equity in the mental health bill</w:t>
      </w:r>
    </w:p>
    <w:p w14:paraId="4B9A1F80" w14:textId="32F4311F" w:rsidR="005C4F4E" w:rsidRPr="005C4F4E" w:rsidRDefault="005C4F4E" w:rsidP="005C4F4E">
      <w:pPr>
        <w:spacing w:line="276" w:lineRule="auto"/>
        <w:rPr>
          <w:rFonts w:ascii="Tahoma" w:hAnsi="Tahoma" w:cs="Tahoma"/>
        </w:rPr>
      </w:pPr>
      <w:r w:rsidRPr="005C4F4E">
        <w:rPr>
          <w:rFonts w:ascii="Tahoma" w:hAnsi="Tahoma" w:cs="Tahoma"/>
        </w:rPr>
        <w:t>One of the original drivers for reforming the Mental Health Act was the urgent and long-standing racial inequalities in how the Act is applied. Yet, in its current draft, the Bill contains no explicit provisions to address or reduce these disparities. This omission is deeply concerning given the persistent overrepresentation of Black and racially minoritised people in detentions under the Act, and the well-documented disparities in the quality of care they receive</w:t>
      </w:r>
      <w:r>
        <w:rPr>
          <w:rFonts w:ascii="Tahoma" w:hAnsi="Tahoma" w:cs="Tahoma"/>
        </w:rPr>
        <w:t>.</w:t>
      </w:r>
    </w:p>
    <w:p w14:paraId="72B74019" w14:textId="366F1F2B" w:rsidR="005C4F4E" w:rsidRPr="005C4F4E" w:rsidRDefault="005C4F4E" w:rsidP="005C4F4E">
      <w:pPr>
        <w:spacing w:line="276" w:lineRule="auto"/>
        <w:rPr>
          <w:rFonts w:ascii="Tahoma" w:hAnsi="Tahoma" w:cs="Tahoma"/>
        </w:rPr>
      </w:pPr>
      <w:r w:rsidRPr="005C4F4E">
        <w:rPr>
          <w:rFonts w:ascii="Tahoma" w:hAnsi="Tahoma" w:cs="Tahoma"/>
        </w:rPr>
        <w:t>Despite decades of evidence and lived experience testimonies pointing to systemic injustice, the Bill does not go far enough in establishing concrete mechanisms for change. Relying on updates to the Code of Practice alone risks deferring action and failing to deliver the scale of transformation that is needed. Racial justice cannot be a peripheral issue in</w:t>
      </w:r>
      <w:r>
        <w:rPr>
          <w:rFonts w:ascii="Tahoma" w:hAnsi="Tahoma" w:cs="Tahoma"/>
        </w:rPr>
        <w:t xml:space="preserve"> the</w:t>
      </w:r>
      <w:r w:rsidRPr="005C4F4E">
        <w:rPr>
          <w:rFonts w:ascii="Tahoma" w:hAnsi="Tahoma" w:cs="Tahoma"/>
        </w:rPr>
        <w:t xml:space="preserve"> reform</w:t>
      </w:r>
      <w:r>
        <w:rPr>
          <w:rFonts w:ascii="Tahoma" w:hAnsi="Tahoma" w:cs="Tahoma"/>
        </w:rPr>
        <w:t xml:space="preserve"> process; </w:t>
      </w:r>
      <w:r w:rsidRPr="005C4F4E">
        <w:rPr>
          <w:rFonts w:ascii="Tahoma" w:hAnsi="Tahoma" w:cs="Tahoma"/>
        </w:rPr>
        <w:t>it must be embedded at the heart of legislation if we are to build a fairer and more equitable mental health system.</w:t>
      </w:r>
    </w:p>
    <w:p w14:paraId="7B22EDAC" w14:textId="77777777" w:rsidR="005C4F4E" w:rsidRPr="005C4F4E" w:rsidRDefault="005C4F4E" w:rsidP="005C4F4E">
      <w:pPr>
        <w:spacing w:line="276" w:lineRule="auto"/>
        <w:rPr>
          <w:rFonts w:ascii="Tahoma" w:hAnsi="Tahoma" w:cs="Tahoma"/>
        </w:rPr>
      </w:pPr>
      <w:r w:rsidRPr="005C4F4E">
        <w:rPr>
          <w:rFonts w:ascii="Tahoma" w:hAnsi="Tahoma" w:cs="Tahoma"/>
        </w:rPr>
        <w:lastRenderedPageBreak/>
        <w:t>There are practical and achievable steps the Government can take within the Bill to advance racial equity. One such measure is to place the Patient and Carer Race Equality Framework (PCREF) on a statutory footing. PCREF, launched by NHS England in 2023 as a key outcome of the Independent Review of the Mental Health Act, provides a vital anti-racism framework for local mental health services. With NHS England set to be abolished, there is a real risk this work could stall or be deprioritised. A statutory duty would ensure that all mental health providers implement and embed PCREF, safeguarding its future and driving accountability.</w:t>
      </w:r>
    </w:p>
    <w:p w14:paraId="0604E396" w14:textId="02DC7939" w:rsidR="005C4F4E" w:rsidRPr="005C4F4E" w:rsidRDefault="005C4F4E" w:rsidP="005C4F4E">
      <w:pPr>
        <w:spacing w:line="276" w:lineRule="auto"/>
        <w:rPr>
          <w:rFonts w:ascii="Tahoma" w:hAnsi="Tahoma" w:cs="Tahoma"/>
        </w:rPr>
      </w:pPr>
      <w:r w:rsidRPr="005C4F4E">
        <w:rPr>
          <w:rFonts w:ascii="Tahoma" w:hAnsi="Tahoma" w:cs="Tahoma"/>
        </w:rPr>
        <w:t>In addition, we support proposals</w:t>
      </w:r>
      <w:r w:rsidR="007E3F51">
        <w:rPr>
          <w:rFonts w:ascii="Tahoma" w:hAnsi="Tahoma" w:cs="Tahoma"/>
        </w:rPr>
        <w:t xml:space="preserve">, </w:t>
      </w:r>
      <w:r w:rsidRPr="005C4F4E">
        <w:rPr>
          <w:rFonts w:ascii="Tahoma" w:hAnsi="Tahoma" w:cs="Tahoma"/>
        </w:rPr>
        <w:t>developed by Black Thrive Global and Min</w:t>
      </w:r>
      <w:r w:rsidR="007E3F51">
        <w:rPr>
          <w:rFonts w:ascii="Tahoma" w:hAnsi="Tahoma" w:cs="Tahoma"/>
        </w:rPr>
        <w:t xml:space="preserve">d, </w:t>
      </w:r>
      <w:r w:rsidRPr="005C4F4E">
        <w:rPr>
          <w:rFonts w:ascii="Tahoma" w:hAnsi="Tahoma" w:cs="Tahoma"/>
        </w:rPr>
        <w:t>to establish a Responsible Person role at both provider and Integrated Care Board level. This role would carry oversight and accountability for tackling racial disparities, aligning with the Care Quality Commission’s inspection framework, which already expects providers to show leadership in addressing inequality through the PCREF under its ‘well-led’ and ‘responsive care’ domains. Embedding this role in legislation would help ensure robust governance and sustained progress in addressing racial injustice in mental health care.</w:t>
      </w:r>
    </w:p>
    <w:p w14:paraId="049BADF7" w14:textId="32C12961" w:rsidR="005C4F4E" w:rsidRPr="003535A4" w:rsidRDefault="005C4F4E" w:rsidP="003535A4">
      <w:pPr>
        <w:pStyle w:val="ListParagraph"/>
        <w:numPr>
          <w:ilvl w:val="0"/>
          <w:numId w:val="24"/>
        </w:numPr>
        <w:spacing w:after="0"/>
        <w:rPr>
          <w:rFonts w:ascii="Tahoma" w:hAnsi="Tahoma" w:cs="Tahoma"/>
        </w:rPr>
      </w:pPr>
      <w:r w:rsidRPr="003535A4">
        <w:rPr>
          <w:rFonts w:ascii="Tahoma" w:hAnsi="Tahoma" w:cs="Tahoma"/>
          <w:b/>
          <w:bCs/>
        </w:rPr>
        <w:t>Recommendations:</w:t>
      </w:r>
      <w:r w:rsidRPr="003535A4">
        <w:rPr>
          <w:rFonts w:ascii="Tahoma" w:hAnsi="Tahoma" w:cs="Tahoma"/>
        </w:rPr>
        <w:t xml:space="preserve"> The Government should introduce amendments to the Mental Health Bill to:</w:t>
      </w:r>
    </w:p>
    <w:p w14:paraId="1BFF62C5" w14:textId="77777777" w:rsidR="003535A4" w:rsidRDefault="005C4F4E" w:rsidP="003535A4">
      <w:pPr>
        <w:pStyle w:val="ListParagraph"/>
        <w:numPr>
          <w:ilvl w:val="0"/>
          <w:numId w:val="25"/>
        </w:numPr>
        <w:spacing w:after="0"/>
        <w:rPr>
          <w:rFonts w:ascii="Tahoma" w:hAnsi="Tahoma" w:cs="Tahoma"/>
        </w:rPr>
      </w:pPr>
      <w:r w:rsidRPr="003535A4">
        <w:rPr>
          <w:rFonts w:ascii="Tahoma" w:hAnsi="Tahoma" w:cs="Tahoma"/>
        </w:rPr>
        <w:t>Place a statutory duty on all mental health providers to implement the Patient and Carer Race Equality Framework (PCREF); and</w:t>
      </w:r>
    </w:p>
    <w:p w14:paraId="7ADDCE78" w14:textId="3AC7BF37" w:rsidR="005C4F4E" w:rsidRDefault="005C4F4E" w:rsidP="003535A4">
      <w:pPr>
        <w:pStyle w:val="ListParagraph"/>
        <w:numPr>
          <w:ilvl w:val="0"/>
          <w:numId w:val="25"/>
        </w:numPr>
        <w:spacing w:after="0"/>
        <w:rPr>
          <w:rFonts w:ascii="Tahoma" w:hAnsi="Tahoma" w:cs="Tahoma"/>
        </w:rPr>
      </w:pPr>
      <w:r w:rsidRPr="003535A4">
        <w:rPr>
          <w:rFonts w:ascii="Tahoma" w:hAnsi="Tahoma" w:cs="Tahoma"/>
        </w:rPr>
        <w:t>Establish a Responsible Person role within each provider and Integrated Care Board to ensure accountability and oversight in tackling racial disparities.</w:t>
      </w:r>
    </w:p>
    <w:p w14:paraId="657C3EDA" w14:textId="77777777" w:rsidR="003535A4" w:rsidRPr="003535A4" w:rsidRDefault="003535A4" w:rsidP="003535A4">
      <w:pPr>
        <w:pStyle w:val="ListParagraph"/>
        <w:spacing w:after="0"/>
        <w:ind w:left="1080"/>
        <w:rPr>
          <w:rFonts w:ascii="Tahoma" w:hAnsi="Tahoma" w:cs="Tahoma"/>
        </w:rPr>
      </w:pPr>
    </w:p>
    <w:p w14:paraId="3D4B5C3B" w14:textId="58E678A6" w:rsidR="698A7FD0" w:rsidRPr="00520CC7" w:rsidRDefault="698A7FD0" w:rsidP="00F2104E">
      <w:pPr>
        <w:rPr>
          <w:rFonts w:ascii="Tahoma" w:hAnsi="Tahoma" w:cs="Tahoma"/>
          <w:b/>
          <w:bCs/>
          <w:i/>
          <w:iCs/>
        </w:rPr>
      </w:pPr>
      <w:r w:rsidRPr="00520CC7">
        <w:rPr>
          <w:rFonts w:ascii="Tahoma" w:hAnsi="Tahoma" w:cs="Tahoma"/>
          <w:b/>
          <w:bCs/>
          <w:i/>
          <w:iCs/>
        </w:rPr>
        <w:t>Community treatment orders (CTOs)</w:t>
      </w:r>
    </w:p>
    <w:p w14:paraId="7D97D534" w14:textId="4765E971" w:rsidR="004478E6" w:rsidRDefault="004323D3" w:rsidP="00C060F9">
      <w:pPr>
        <w:rPr>
          <w:rFonts w:ascii="Tahoma" w:hAnsi="Tahoma" w:cs="Tahoma"/>
        </w:rPr>
      </w:pPr>
      <w:r w:rsidRPr="004323D3">
        <w:rPr>
          <w:rFonts w:ascii="Tahoma" w:hAnsi="Tahoma" w:cs="Tahoma"/>
        </w:rPr>
        <w:t>A Community Treatment Order (CTO) allows individuals who have been treated in hospital for their mental health to continue their care under supervision in the community, rather than remaining in hospital. These orders often include strict conditions, such as following treatment plans or residing in specific locations. However, their use is marked by significant racial disparities</w:t>
      </w:r>
      <w:r>
        <w:rPr>
          <w:rFonts w:ascii="Tahoma" w:hAnsi="Tahoma" w:cs="Tahoma"/>
        </w:rPr>
        <w:t xml:space="preserve">, </w:t>
      </w:r>
      <w:r w:rsidRPr="004323D3">
        <w:rPr>
          <w:rFonts w:ascii="Tahoma" w:hAnsi="Tahoma" w:cs="Tahoma"/>
        </w:rPr>
        <w:t>Black people are seven times more likely to be placed on a CTO than white people.</w:t>
      </w:r>
      <w:r>
        <w:rPr>
          <w:rFonts w:ascii="Tahoma" w:hAnsi="Tahoma" w:cs="Tahoma"/>
        </w:rPr>
        <w:t xml:space="preserve"> </w:t>
      </w:r>
      <w:r w:rsidR="005C1ACA">
        <w:rPr>
          <w:rFonts w:ascii="Tahoma" w:hAnsi="Tahoma" w:cs="Tahoma"/>
        </w:rPr>
        <w:t xml:space="preserve">However, </w:t>
      </w:r>
      <w:r w:rsidR="00121B40">
        <w:rPr>
          <w:rFonts w:ascii="Tahoma" w:hAnsi="Tahoma" w:cs="Tahoma"/>
        </w:rPr>
        <w:t>their use is marked by</w:t>
      </w:r>
      <w:r w:rsidR="00EA5F83">
        <w:rPr>
          <w:rFonts w:ascii="Tahoma" w:hAnsi="Tahoma" w:cs="Tahoma"/>
        </w:rPr>
        <w:t xml:space="preserve"> stark </w:t>
      </w:r>
      <w:r w:rsidR="00121B40">
        <w:rPr>
          <w:rFonts w:ascii="Tahoma" w:hAnsi="Tahoma" w:cs="Tahoma"/>
        </w:rPr>
        <w:t xml:space="preserve">racial </w:t>
      </w:r>
      <w:r w:rsidR="00EA5F83">
        <w:rPr>
          <w:rFonts w:ascii="Tahoma" w:hAnsi="Tahoma" w:cs="Tahoma"/>
        </w:rPr>
        <w:t>inequalities</w:t>
      </w:r>
      <w:r w:rsidR="00121B40">
        <w:rPr>
          <w:rFonts w:ascii="Tahoma" w:hAnsi="Tahoma" w:cs="Tahoma"/>
        </w:rPr>
        <w:t xml:space="preserve">, </w:t>
      </w:r>
      <w:r w:rsidR="00EA5F83">
        <w:rPr>
          <w:rFonts w:ascii="Tahoma" w:hAnsi="Tahoma" w:cs="Tahoma"/>
        </w:rPr>
        <w:t>Black people being seven times more likely to be placed on one compared to white people</w:t>
      </w:r>
      <w:r w:rsidR="00E90BA2">
        <w:rPr>
          <w:rStyle w:val="FootnoteReference"/>
          <w:rFonts w:ascii="Tahoma" w:hAnsi="Tahoma" w:cs="Tahoma"/>
        </w:rPr>
        <w:footnoteReference w:id="2"/>
      </w:r>
      <w:r w:rsidR="00EA5F83">
        <w:rPr>
          <w:rFonts w:ascii="Tahoma" w:hAnsi="Tahoma" w:cs="Tahoma"/>
        </w:rPr>
        <w:t>.</w:t>
      </w:r>
    </w:p>
    <w:p w14:paraId="56A9AE77" w14:textId="6FC7973D" w:rsidR="007B1EC6" w:rsidRDefault="007B1EC6" w:rsidP="007B1EC6">
      <w:pPr>
        <w:rPr>
          <w:rFonts w:ascii="Tahoma" w:hAnsi="Tahoma" w:cs="Tahoma"/>
        </w:rPr>
      </w:pPr>
      <w:r w:rsidRPr="0D4DE8CD">
        <w:rPr>
          <w:rFonts w:ascii="Tahoma" w:hAnsi="Tahoma" w:cs="Tahoma"/>
        </w:rPr>
        <w:t>The Independent Review recommended that a CTO should only be used where a patient has a history of disengaging with community services following discharge from hospital. This would ensure that the powers are only used where it can be demonstrated that there is a necessity to use them to keep the person safe when they are discharged.</w:t>
      </w:r>
    </w:p>
    <w:p w14:paraId="4BD8E88F" w14:textId="7354DAE8" w:rsidR="00CC5D67" w:rsidRDefault="3184A38E" w:rsidP="00F2104E">
      <w:pPr>
        <w:rPr>
          <w:rFonts w:ascii="Tahoma" w:hAnsi="Tahoma" w:cs="Tahoma"/>
        </w:rPr>
      </w:pPr>
      <w:r w:rsidRPr="02DD4B08">
        <w:rPr>
          <w:rFonts w:ascii="Tahoma" w:hAnsi="Tahoma" w:cs="Tahoma"/>
        </w:rPr>
        <w:t>The current version of the Bill introduces important safeguards around the use of CTOs, including a 12-month maximum duration and a requirement for renewal to be approved by a second registered psychiatrist. We believe these changes are vital to ensure CTOs are not extended indefinitely without clear, evidence-based justification that they remain necessary and proportionate.</w:t>
      </w:r>
      <w:r w:rsidR="34BEF5E1" w:rsidRPr="02DD4B08">
        <w:rPr>
          <w:rFonts w:ascii="Tahoma" w:hAnsi="Tahoma" w:cs="Tahoma"/>
        </w:rPr>
        <w:t xml:space="preserve"> </w:t>
      </w:r>
      <w:r w:rsidR="74336C75" w:rsidRPr="02DD4B08">
        <w:rPr>
          <w:rFonts w:ascii="Tahoma" w:hAnsi="Tahoma" w:cs="Tahoma"/>
        </w:rPr>
        <w:t xml:space="preserve">However, we believe this second opinion should not be limited to a registered psychiatrist. Instead, it should also include Approved Mental Health Professionals </w:t>
      </w:r>
      <w:r w:rsidR="74336C75" w:rsidRPr="02DD4B08">
        <w:rPr>
          <w:rFonts w:ascii="Tahoma" w:hAnsi="Tahoma" w:cs="Tahoma"/>
        </w:rPr>
        <w:lastRenderedPageBreak/>
        <w:t>(AMHPs), such as social workers and psychiatric nurses, to ensure that decisions about renewal are informed by a broader, multidisciplinary perspective and grounded in a more holistic understanding of a person’s needs and rights.</w:t>
      </w:r>
    </w:p>
    <w:p w14:paraId="5A18D290" w14:textId="2BC53529" w:rsidR="003322C6" w:rsidRDefault="3780F8A7" w:rsidP="00F2104E">
      <w:pPr>
        <w:rPr>
          <w:rFonts w:ascii="Tahoma" w:hAnsi="Tahoma" w:cs="Tahoma"/>
        </w:rPr>
      </w:pPr>
      <w:r w:rsidRPr="02DD4B08">
        <w:rPr>
          <w:rFonts w:ascii="Tahoma" w:hAnsi="Tahoma" w:cs="Tahoma"/>
        </w:rPr>
        <w:t>In addition,</w:t>
      </w:r>
      <w:r w:rsidR="47A1BECA" w:rsidRPr="02DD4B08">
        <w:rPr>
          <w:rFonts w:ascii="Tahoma" w:hAnsi="Tahoma" w:cs="Tahoma"/>
        </w:rPr>
        <w:t xml:space="preserve"> we would like to see the </w:t>
      </w:r>
      <w:r w:rsidR="7FFA927D" w:rsidRPr="02DD4B08">
        <w:rPr>
          <w:rFonts w:ascii="Tahoma" w:hAnsi="Tahoma" w:cs="Tahoma"/>
        </w:rPr>
        <w:t>bill,</w:t>
      </w:r>
      <w:r w:rsidR="47A1BECA" w:rsidRPr="02DD4B08">
        <w:rPr>
          <w:rFonts w:ascii="Tahoma" w:hAnsi="Tahoma" w:cs="Tahoma"/>
        </w:rPr>
        <w:t xml:space="preserve"> or the Code</w:t>
      </w:r>
      <w:r w:rsidR="3BA22CED" w:rsidRPr="02DD4B08">
        <w:rPr>
          <w:rFonts w:ascii="Tahoma" w:hAnsi="Tahoma" w:cs="Tahoma"/>
        </w:rPr>
        <w:t>,</w:t>
      </w:r>
      <w:r w:rsidR="47A1BECA" w:rsidRPr="02DD4B08">
        <w:rPr>
          <w:rFonts w:ascii="Tahoma" w:hAnsi="Tahoma" w:cs="Tahoma"/>
        </w:rPr>
        <w:t xml:space="preserve"> stipulate that </w:t>
      </w:r>
      <w:r w:rsidR="3359252A" w:rsidRPr="02DD4B08">
        <w:rPr>
          <w:rFonts w:ascii="Tahoma" w:hAnsi="Tahoma" w:cs="Tahoma"/>
        </w:rPr>
        <w:t xml:space="preserve">Independent Mental Health </w:t>
      </w:r>
      <w:r w:rsidR="789FD1F9" w:rsidRPr="02DD4B08">
        <w:rPr>
          <w:rFonts w:ascii="Tahoma" w:hAnsi="Tahoma" w:cs="Tahoma"/>
        </w:rPr>
        <w:t xml:space="preserve">Act </w:t>
      </w:r>
      <w:r w:rsidR="3359252A" w:rsidRPr="02DD4B08">
        <w:rPr>
          <w:rFonts w:ascii="Tahoma" w:hAnsi="Tahoma" w:cs="Tahoma"/>
        </w:rPr>
        <w:t>Advoca</w:t>
      </w:r>
      <w:r w:rsidR="2488B49A" w:rsidRPr="02DD4B08">
        <w:rPr>
          <w:rFonts w:ascii="Tahoma" w:hAnsi="Tahoma" w:cs="Tahoma"/>
        </w:rPr>
        <w:t>cy</w:t>
      </w:r>
      <w:r w:rsidR="3359252A" w:rsidRPr="02DD4B08">
        <w:rPr>
          <w:rFonts w:ascii="Tahoma" w:hAnsi="Tahoma" w:cs="Tahoma"/>
        </w:rPr>
        <w:t xml:space="preserve"> (</w:t>
      </w:r>
      <w:r w:rsidR="47A1BECA" w:rsidRPr="02DD4B08">
        <w:rPr>
          <w:rFonts w:ascii="Tahoma" w:hAnsi="Tahoma" w:cs="Tahoma"/>
        </w:rPr>
        <w:t>IMHA</w:t>
      </w:r>
      <w:r w:rsidR="3359252A" w:rsidRPr="02DD4B08">
        <w:rPr>
          <w:rFonts w:ascii="Tahoma" w:hAnsi="Tahoma" w:cs="Tahoma"/>
        </w:rPr>
        <w:t>)</w:t>
      </w:r>
      <w:r w:rsidR="47A1BECA" w:rsidRPr="02DD4B08">
        <w:rPr>
          <w:rFonts w:ascii="Tahoma" w:hAnsi="Tahoma" w:cs="Tahoma"/>
        </w:rPr>
        <w:t xml:space="preserve"> must be made available proactively to people on CTOs. Most IMHA services are currently hospital-based, leaving people on CTOs with little access to this vital safeguard.</w:t>
      </w:r>
    </w:p>
    <w:p w14:paraId="1FBD1A9F" w14:textId="326EA31A" w:rsidR="00E51418" w:rsidRDefault="00E51418" w:rsidP="00F2104E">
      <w:pPr>
        <w:spacing w:before="240" w:line="276" w:lineRule="auto"/>
        <w:rPr>
          <w:rFonts w:ascii="Tahoma" w:hAnsi="Tahoma" w:cs="Tahoma"/>
        </w:rPr>
      </w:pPr>
      <w:r w:rsidRPr="00E51418">
        <w:rPr>
          <w:rFonts w:ascii="Tahoma" w:hAnsi="Tahoma" w:cs="Tahoma"/>
        </w:rPr>
        <w:t>More broadly, we note the ongoing lack of persuasive evidence for the effectiveness of CTOs. Given the significant concerns about their impact and disproportionate use</w:t>
      </w:r>
      <w:r w:rsidR="005D5978">
        <w:rPr>
          <w:rFonts w:ascii="Tahoma" w:hAnsi="Tahoma" w:cs="Tahoma"/>
        </w:rPr>
        <w:t>,</w:t>
      </w:r>
      <w:r>
        <w:rPr>
          <w:rFonts w:ascii="Tahoma" w:hAnsi="Tahoma" w:cs="Tahoma"/>
        </w:rPr>
        <w:t xml:space="preserve"> </w:t>
      </w:r>
      <w:r w:rsidRPr="00E51418">
        <w:rPr>
          <w:rFonts w:ascii="Tahoma" w:hAnsi="Tahoma" w:cs="Tahoma"/>
        </w:rPr>
        <w:t>particularly among Black communities</w:t>
      </w:r>
      <w:r w:rsidR="005D5978">
        <w:rPr>
          <w:rFonts w:ascii="Tahoma" w:hAnsi="Tahoma" w:cs="Tahoma"/>
        </w:rPr>
        <w:t xml:space="preserve">, </w:t>
      </w:r>
      <w:r w:rsidRPr="00E51418">
        <w:rPr>
          <w:rFonts w:ascii="Tahoma" w:hAnsi="Tahoma" w:cs="Tahoma"/>
        </w:rPr>
        <w:t>we believe CTOs should be subject to an independent review within five years of the legislation being enacted. This review should assess their efficacy and equality implications, with a view to repealing or further amending these powers if they continue to show limited benefits or discriminatory patterns of use.</w:t>
      </w:r>
    </w:p>
    <w:p w14:paraId="22D7CA55" w14:textId="3172E4B7" w:rsidR="00AE26BC" w:rsidRPr="003535A4" w:rsidRDefault="284B41A7" w:rsidP="003535A4">
      <w:pPr>
        <w:pStyle w:val="ListParagraph"/>
        <w:numPr>
          <w:ilvl w:val="0"/>
          <w:numId w:val="23"/>
        </w:numPr>
        <w:spacing w:before="240" w:line="276" w:lineRule="auto"/>
        <w:rPr>
          <w:rFonts w:ascii="Tahoma" w:hAnsi="Tahoma" w:cs="Tahoma"/>
        </w:rPr>
      </w:pPr>
      <w:r w:rsidRPr="003535A4">
        <w:rPr>
          <w:rFonts w:ascii="Tahoma" w:hAnsi="Tahoma" w:cs="Tahoma"/>
          <w:b/>
          <w:bCs/>
        </w:rPr>
        <w:t>Recommendation:</w:t>
      </w:r>
      <w:r w:rsidRPr="003535A4">
        <w:rPr>
          <w:rFonts w:ascii="Tahoma" w:hAnsi="Tahoma" w:cs="Tahoma"/>
        </w:rPr>
        <w:t xml:space="preserve"> The Government should adopt the recommendations from the Independent Review on CTOs in full and commit to a review of their use. As part of this, they should reassess and tighten the criteria for CTOs and consider alternative approaches with the view to phasing them out within five years if progress is not made. </w:t>
      </w:r>
    </w:p>
    <w:p w14:paraId="37AE385F" w14:textId="5AA10FD3" w:rsidR="7019B9A6" w:rsidRDefault="00922F79" w:rsidP="314F0A41">
      <w:pPr>
        <w:spacing w:before="240" w:line="276" w:lineRule="auto"/>
        <w:rPr>
          <w:rFonts w:ascii="Tahoma" w:hAnsi="Tahoma" w:cs="Tahoma"/>
          <w:b/>
          <w:bCs/>
          <w:i/>
          <w:iCs/>
        </w:rPr>
      </w:pPr>
      <w:r>
        <w:rPr>
          <w:rFonts w:ascii="Tahoma" w:hAnsi="Tahoma" w:cs="Tahoma"/>
          <w:b/>
          <w:bCs/>
          <w:i/>
          <w:iCs/>
        </w:rPr>
        <w:t xml:space="preserve">Strengthening reporting </w:t>
      </w:r>
      <w:r w:rsidR="004717ED">
        <w:rPr>
          <w:rFonts w:ascii="Tahoma" w:hAnsi="Tahoma" w:cs="Tahoma"/>
          <w:b/>
          <w:bCs/>
          <w:i/>
          <w:iCs/>
        </w:rPr>
        <w:t>on</w:t>
      </w:r>
      <w:r>
        <w:rPr>
          <w:rFonts w:ascii="Tahoma" w:hAnsi="Tahoma" w:cs="Tahoma"/>
          <w:b/>
          <w:bCs/>
          <w:i/>
          <w:iCs/>
        </w:rPr>
        <w:t xml:space="preserve"> the use of a</w:t>
      </w:r>
      <w:r w:rsidR="7019B9A6" w:rsidRPr="314F0A41">
        <w:rPr>
          <w:rFonts w:ascii="Tahoma" w:hAnsi="Tahoma" w:cs="Tahoma"/>
          <w:b/>
          <w:bCs/>
          <w:i/>
          <w:iCs/>
        </w:rPr>
        <w:t xml:space="preserve">dvocacy </w:t>
      </w:r>
      <w:r>
        <w:rPr>
          <w:rFonts w:ascii="Tahoma" w:hAnsi="Tahoma" w:cs="Tahoma"/>
          <w:b/>
          <w:bCs/>
          <w:i/>
          <w:iCs/>
        </w:rPr>
        <w:t>services</w:t>
      </w:r>
    </w:p>
    <w:p w14:paraId="10A871D5" w14:textId="6E07A68F" w:rsidR="00F75BB6" w:rsidRDefault="3CB07DE8" w:rsidP="00F75BB6">
      <w:pPr>
        <w:spacing w:after="0" w:line="276" w:lineRule="auto"/>
        <w:rPr>
          <w:rFonts w:ascii="Tahoma" w:hAnsi="Tahoma" w:cs="Tahoma"/>
        </w:rPr>
      </w:pPr>
      <w:r w:rsidRPr="02DD4B08">
        <w:rPr>
          <w:rFonts w:ascii="Tahoma" w:hAnsi="Tahoma" w:cs="Tahoma"/>
        </w:rPr>
        <w:t>We welcome the provisions in the Mental Health Bill that introduce an automatic, opt-out right to Independent Mental Health Advocates (IMH</w:t>
      </w:r>
      <w:r w:rsidR="0D5D51E9" w:rsidRPr="02DD4B08">
        <w:rPr>
          <w:rFonts w:ascii="Tahoma" w:hAnsi="Tahoma" w:cs="Tahoma"/>
        </w:rPr>
        <w:t>A</w:t>
      </w:r>
      <w:r w:rsidRPr="02DD4B08">
        <w:rPr>
          <w:rFonts w:ascii="Tahoma" w:hAnsi="Tahoma" w:cs="Tahoma"/>
        </w:rPr>
        <w:t>s) for people detained under the Act, as well as opt-in access for informal patients. However, we believe the Government should go further by including an amendment to strengthen transparency through new reporting requirements on the use and reach of IMH</w:t>
      </w:r>
      <w:r w:rsidR="53DF9CF5" w:rsidRPr="02DD4B08">
        <w:rPr>
          <w:rFonts w:ascii="Tahoma" w:hAnsi="Tahoma" w:cs="Tahoma"/>
        </w:rPr>
        <w:t>A</w:t>
      </w:r>
      <w:r w:rsidRPr="02DD4B08">
        <w:rPr>
          <w:rFonts w:ascii="Tahoma" w:hAnsi="Tahoma" w:cs="Tahoma"/>
        </w:rPr>
        <w:t xml:space="preserve"> services.</w:t>
      </w:r>
    </w:p>
    <w:p w14:paraId="735415C5" w14:textId="77777777" w:rsidR="00F75BB6" w:rsidRPr="00F75BB6" w:rsidRDefault="00F75BB6" w:rsidP="00F75BB6">
      <w:pPr>
        <w:spacing w:after="0" w:line="276" w:lineRule="auto"/>
        <w:rPr>
          <w:rFonts w:ascii="Tahoma" w:hAnsi="Tahoma" w:cs="Tahoma"/>
        </w:rPr>
      </w:pPr>
    </w:p>
    <w:p w14:paraId="2923A929" w14:textId="1246739E" w:rsidR="00F75BB6" w:rsidRDefault="3CB07DE8" w:rsidP="00F75BB6">
      <w:pPr>
        <w:spacing w:after="0" w:line="276" w:lineRule="auto"/>
        <w:rPr>
          <w:rFonts w:ascii="Tahoma" w:hAnsi="Tahoma" w:cs="Tahoma"/>
        </w:rPr>
      </w:pPr>
      <w:r w:rsidRPr="02DD4B08">
        <w:rPr>
          <w:rFonts w:ascii="Tahoma" w:hAnsi="Tahoma" w:cs="Tahoma"/>
        </w:rPr>
        <w:t>This amendment would require local authorities to publish annual data on the number of people eligible for IMHA support, the statutory grounds under which they qualify, and key demographic information such as age, ethnicity, sex, and gender identity</w:t>
      </w:r>
      <w:r w:rsidR="05BA2BD5" w:rsidRPr="02DD4B08">
        <w:rPr>
          <w:rFonts w:ascii="Tahoma" w:hAnsi="Tahoma" w:cs="Tahoma"/>
        </w:rPr>
        <w:t xml:space="preserve">, </w:t>
      </w:r>
      <w:r w:rsidRPr="02DD4B08">
        <w:rPr>
          <w:rFonts w:ascii="Tahoma" w:hAnsi="Tahoma" w:cs="Tahoma"/>
        </w:rPr>
        <w:t>for both those eligible and those who take up support. This data should be publicly accessible and submitted to the Secretary of State, who would be responsible for monitoring uptake and reporting annually to Parliament.</w:t>
      </w:r>
    </w:p>
    <w:p w14:paraId="137035DF" w14:textId="77777777" w:rsidR="00F75BB6" w:rsidRPr="00F75BB6" w:rsidRDefault="00F75BB6" w:rsidP="00F75BB6">
      <w:pPr>
        <w:spacing w:after="0" w:line="276" w:lineRule="auto"/>
        <w:rPr>
          <w:rFonts w:ascii="Tahoma" w:hAnsi="Tahoma" w:cs="Tahoma"/>
        </w:rPr>
      </w:pPr>
    </w:p>
    <w:p w14:paraId="581D46E3" w14:textId="588701C5" w:rsidR="00F75BB6" w:rsidRDefault="3CB07DE8" w:rsidP="00F75BB6">
      <w:pPr>
        <w:spacing w:after="0" w:line="276" w:lineRule="auto"/>
        <w:rPr>
          <w:rFonts w:ascii="Tahoma" w:hAnsi="Tahoma" w:cs="Tahoma"/>
        </w:rPr>
      </w:pPr>
      <w:r w:rsidRPr="02DD4B08">
        <w:rPr>
          <w:rFonts w:ascii="Tahoma" w:hAnsi="Tahoma" w:cs="Tahoma"/>
        </w:rPr>
        <w:t>Introducing these measures would improve transparency and accountability across the advocacy system and help ensure that everyone entitled to support is receiving it. It would also provide crucial insights into who is</w:t>
      </w:r>
      <w:r w:rsidR="50FB79E8" w:rsidRPr="02DD4B08">
        <w:rPr>
          <w:rFonts w:ascii="Tahoma" w:hAnsi="Tahoma" w:cs="Tahoma"/>
        </w:rPr>
        <w:t xml:space="preserve"> </w:t>
      </w:r>
      <w:r w:rsidRPr="02DD4B08">
        <w:rPr>
          <w:rFonts w:ascii="Tahoma" w:hAnsi="Tahoma" w:cs="Tahoma"/>
        </w:rPr>
        <w:t>and isn’t</w:t>
      </w:r>
      <w:r w:rsidR="50FB79E8" w:rsidRPr="02DD4B08">
        <w:rPr>
          <w:rFonts w:ascii="Tahoma" w:hAnsi="Tahoma" w:cs="Tahoma"/>
        </w:rPr>
        <w:t xml:space="preserve"> </w:t>
      </w:r>
      <w:r w:rsidRPr="02DD4B08">
        <w:rPr>
          <w:rFonts w:ascii="Tahoma" w:hAnsi="Tahoma" w:cs="Tahoma"/>
        </w:rPr>
        <w:t>accessing IMHA services, helping to identify disparities, improve the quality and consistency of provision, and support a more equitable, rights-based approach to mental health care. This data will be vital in assessing whether reforms to the Mental Health Act are achieving their aim of increasing choice, voice, and fairness for people receiving care.</w:t>
      </w:r>
    </w:p>
    <w:p w14:paraId="41995851" w14:textId="77777777" w:rsidR="004F7198" w:rsidRPr="00F75BB6" w:rsidRDefault="004F7198" w:rsidP="00F75BB6">
      <w:pPr>
        <w:spacing w:after="0" w:line="276" w:lineRule="auto"/>
        <w:rPr>
          <w:rFonts w:ascii="Tahoma" w:hAnsi="Tahoma" w:cs="Tahoma"/>
        </w:rPr>
      </w:pPr>
    </w:p>
    <w:p w14:paraId="700C0480" w14:textId="168DBB8B" w:rsidR="00434DC2" w:rsidRPr="003535A4" w:rsidRDefault="3CB07DE8" w:rsidP="003535A4">
      <w:pPr>
        <w:pStyle w:val="ListParagraph"/>
        <w:numPr>
          <w:ilvl w:val="0"/>
          <w:numId w:val="22"/>
        </w:numPr>
        <w:spacing w:after="0" w:line="276" w:lineRule="auto"/>
        <w:rPr>
          <w:rFonts w:ascii="Tahoma" w:hAnsi="Tahoma" w:cs="Tahoma"/>
        </w:rPr>
      </w:pPr>
      <w:r w:rsidRPr="02DD4B08">
        <w:rPr>
          <w:rFonts w:ascii="Tahoma" w:hAnsi="Tahoma" w:cs="Tahoma"/>
          <w:b/>
          <w:bCs/>
        </w:rPr>
        <w:lastRenderedPageBreak/>
        <w:t>Recommendation:</w:t>
      </w:r>
      <w:r w:rsidRPr="02DD4B08">
        <w:rPr>
          <w:rFonts w:ascii="Tahoma" w:hAnsi="Tahoma" w:cs="Tahoma"/>
        </w:rPr>
        <w:t xml:space="preserve"> The Government should introduce an amendment to the Bill requiring local authorities to collect and publish data on IMH</w:t>
      </w:r>
      <w:r w:rsidR="4B8BBAEA" w:rsidRPr="02DD4B08">
        <w:rPr>
          <w:rFonts w:ascii="Tahoma" w:hAnsi="Tahoma" w:cs="Tahoma"/>
        </w:rPr>
        <w:t>A</w:t>
      </w:r>
      <w:r w:rsidRPr="02DD4B08">
        <w:rPr>
          <w:rFonts w:ascii="Tahoma" w:hAnsi="Tahoma" w:cs="Tahoma"/>
        </w:rPr>
        <w:t xml:space="preserve"> </w:t>
      </w:r>
      <w:r w:rsidR="7F54C99E" w:rsidRPr="02DD4B08">
        <w:rPr>
          <w:rFonts w:ascii="Tahoma" w:hAnsi="Tahoma" w:cs="Tahoma"/>
        </w:rPr>
        <w:t>uptake and</w:t>
      </w:r>
      <w:r w:rsidRPr="02DD4B08">
        <w:rPr>
          <w:rFonts w:ascii="Tahoma" w:hAnsi="Tahoma" w:cs="Tahoma"/>
        </w:rPr>
        <w:t xml:space="preserve"> mandating the Secretary of State for Health to monitor and report on usage of this vital service</w:t>
      </w:r>
      <w:r w:rsidR="26375DCD" w:rsidRPr="02DD4B08">
        <w:rPr>
          <w:rFonts w:ascii="Tahoma" w:hAnsi="Tahoma" w:cs="Tahoma"/>
        </w:rPr>
        <w:t>.</w:t>
      </w:r>
    </w:p>
    <w:p w14:paraId="62189CB8" w14:textId="289010A2" w:rsidR="02DD4B08" w:rsidRDefault="02DD4B08" w:rsidP="02DD4B08">
      <w:pPr>
        <w:spacing w:after="0" w:line="276" w:lineRule="auto"/>
        <w:rPr>
          <w:rFonts w:ascii="Tahoma" w:hAnsi="Tahoma" w:cs="Tahoma"/>
          <w:b/>
          <w:bCs/>
          <w:i/>
          <w:iCs/>
        </w:rPr>
      </w:pPr>
    </w:p>
    <w:p w14:paraId="41B15184" w14:textId="6D444B5C" w:rsidR="00483828" w:rsidRPr="00434DC2" w:rsidRDefault="00483828" w:rsidP="00434DC2">
      <w:pPr>
        <w:spacing w:after="0" w:line="276" w:lineRule="auto"/>
        <w:rPr>
          <w:rFonts w:ascii="Tahoma" w:hAnsi="Tahoma" w:cs="Tahoma"/>
        </w:rPr>
      </w:pPr>
      <w:r w:rsidRPr="00520CC7">
        <w:rPr>
          <w:rFonts w:ascii="Tahoma" w:hAnsi="Tahoma" w:cs="Tahoma"/>
          <w:b/>
          <w:bCs/>
          <w:i/>
          <w:iCs/>
        </w:rPr>
        <w:t>Housing rights while in hospital</w:t>
      </w:r>
    </w:p>
    <w:p w14:paraId="4A91153C" w14:textId="77777777" w:rsidR="00483828" w:rsidRPr="00D46E84" w:rsidRDefault="00483828" w:rsidP="00483828">
      <w:pPr>
        <w:spacing w:after="0" w:line="276" w:lineRule="auto"/>
        <w:rPr>
          <w:rFonts w:ascii="Tahoma" w:eastAsia="Tahoma" w:hAnsi="Tahoma" w:cs="Tahoma"/>
          <w:color w:val="000000" w:themeColor="text1"/>
          <w:lang w:eastAsia="en-GB"/>
        </w:rPr>
      </w:pPr>
    </w:p>
    <w:p w14:paraId="3AE8884C" w14:textId="77777777" w:rsidR="00483828" w:rsidRDefault="00483828" w:rsidP="00483828">
      <w:pPr>
        <w:rPr>
          <w:rFonts w:ascii="Tahoma" w:hAnsi="Tahoma" w:cs="Tahoma"/>
        </w:rPr>
      </w:pPr>
      <w:r w:rsidRPr="4D3DF015">
        <w:rPr>
          <w:rFonts w:ascii="Tahoma" w:hAnsi="Tahoma" w:cs="Tahoma"/>
        </w:rPr>
        <w:t>We would also like to see provision for people’s housing rights while they are detained in hospital. Too many people are made homeless when they are in hospital, for example because they lose their tenancies. We would like to see the new Act require health and local authorities to take affirmative steps to protect people’s housing rights and ensure no one is either discharged homeless or stuck in hospital for too long because accommodation isn’t available for them.</w:t>
      </w:r>
    </w:p>
    <w:p w14:paraId="5993571B" w14:textId="412D8335" w:rsidR="000833C4" w:rsidRPr="003535A4" w:rsidRDefault="00483828" w:rsidP="003535A4">
      <w:pPr>
        <w:pStyle w:val="ListParagraph"/>
        <w:numPr>
          <w:ilvl w:val="0"/>
          <w:numId w:val="21"/>
        </w:numPr>
        <w:rPr>
          <w:rFonts w:ascii="Tahoma" w:hAnsi="Tahoma" w:cs="Tahoma"/>
        </w:rPr>
      </w:pPr>
      <w:r w:rsidRPr="003535A4">
        <w:rPr>
          <w:rFonts w:ascii="Tahoma" w:hAnsi="Tahoma" w:cs="Tahoma"/>
          <w:b/>
          <w:bCs/>
        </w:rPr>
        <w:t xml:space="preserve">Recommendation: </w:t>
      </w:r>
      <w:r w:rsidRPr="003535A4">
        <w:rPr>
          <w:rFonts w:ascii="Tahoma" w:hAnsi="Tahoma" w:cs="Tahoma"/>
        </w:rPr>
        <w:t>The bill should require health and local authorities to protect housing rights, preventing discharges into homelessness or prolonged hospital stays due to unavailable accommodation.</w:t>
      </w:r>
    </w:p>
    <w:p w14:paraId="097B3684" w14:textId="77777777" w:rsidR="00076D05" w:rsidRDefault="00076D05" w:rsidP="00076D05">
      <w:pPr>
        <w:pStyle w:val="paragraph"/>
        <w:spacing w:before="0" w:beforeAutospacing="0" w:after="0" w:afterAutospacing="0"/>
        <w:textAlignment w:val="baseline"/>
        <w:rPr>
          <w:rStyle w:val="eop"/>
          <w:rFonts w:eastAsiaTheme="majorEastAsia" w:cs="Tahoma"/>
          <w:sz w:val="22"/>
          <w:szCs w:val="22"/>
        </w:rPr>
      </w:pPr>
      <w:r>
        <w:rPr>
          <w:rStyle w:val="normaltextrun"/>
          <w:rFonts w:ascii="Tahoma" w:hAnsi="Tahoma" w:cs="Tahoma"/>
          <w:b/>
          <w:bCs/>
          <w:i/>
          <w:iCs/>
          <w:sz w:val="22"/>
          <w:szCs w:val="22"/>
        </w:rPr>
        <w:t>Prison transfers</w:t>
      </w:r>
      <w:r>
        <w:rPr>
          <w:rStyle w:val="eop"/>
          <w:rFonts w:eastAsiaTheme="majorEastAsia" w:cs="Tahoma"/>
          <w:sz w:val="22"/>
          <w:szCs w:val="22"/>
        </w:rPr>
        <w:t> </w:t>
      </w:r>
    </w:p>
    <w:p w14:paraId="04D9060B" w14:textId="77777777" w:rsidR="00076D05" w:rsidRDefault="00076D05" w:rsidP="00076D05">
      <w:pPr>
        <w:pStyle w:val="paragraph"/>
        <w:spacing w:before="0" w:beforeAutospacing="0" w:after="0" w:afterAutospacing="0"/>
        <w:textAlignment w:val="baseline"/>
        <w:rPr>
          <w:rFonts w:ascii="Segoe UI" w:hAnsi="Segoe UI" w:cs="Segoe UI"/>
          <w:sz w:val="18"/>
          <w:szCs w:val="18"/>
        </w:rPr>
      </w:pPr>
    </w:p>
    <w:p w14:paraId="56E72245" w14:textId="77777777" w:rsidR="00076D05" w:rsidRDefault="00076D05" w:rsidP="00076D05">
      <w:pPr>
        <w:pStyle w:val="paragraph"/>
        <w:spacing w:before="0" w:beforeAutospacing="0" w:after="0" w:afterAutospacing="0"/>
        <w:textAlignment w:val="baseline"/>
        <w:rPr>
          <w:rStyle w:val="eop"/>
          <w:rFonts w:eastAsiaTheme="majorEastAsia" w:cs="Tahoma"/>
          <w:sz w:val="22"/>
          <w:szCs w:val="22"/>
        </w:rPr>
      </w:pPr>
      <w:r>
        <w:rPr>
          <w:rStyle w:val="normaltextrun"/>
          <w:rFonts w:ascii="Tahoma" w:hAnsi="Tahoma" w:cs="Tahoma"/>
          <w:sz w:val="22"/>
          <w:szCs w:val="22"/>
        </w:rPr>
        <w:t>We warmly welcome the bill’s provisions relating to prison transfers. It must be made clear, ideally in the bill or if not in the Code of Practice, that responsibility for locating beds and facilitating admissions lies with NHS England (and its equivalent in Wales). </w:t>
      </w:r>
      <w:r>
        <w:rPr>
          <w:rStyle w:val="eop"/>
          <w:rFonts w:eastAsiaTheme="majorEastAsia" w:cs="Tahoma"/>
          <w:sz w:val="22"/>
          <w:szCs w:val="22"/>
        </w:rPr>
        <w:t> </w:t>
      </w:r>
    </w:p>
    <w:p w14:paraId="118A4834" w14:textId="77777777" w:rsidR="00076D05" w:rsidRDefault="00076D05" w:rsidP="00076D05">
      <w:pPr>
        <w:pStyle w:val="paragraph"/>
        <w:spacing w:before="0" w:beforeAutospacing="0" w:after="0" w:afterAutospacing="0"/>
        <w:textAlignment w:val="baseline"/>
        <w:rPr>
          <w:rFonts w:ascii="Segoe UI" w:hAnsi="Segoe UI" w:cs="Segoe UI"/>
          <w:sz w:val="18"/>
          <w:szCs w:val="18"/>
        </w:rPr>
      </w:pPr>
    </w:p>
    <w:p w14:paraId="7E4CB8E7" w14:textId="14F7605C" w:rsidR="314F0A41" w:rsidRDefault="39E010FD" w:rsidP="02DD4B08">
      <w:pPr>
        <w:pStyle w:val="paragraph"/>
        <w:numPr>
          <w:ilvl w:val="0"/>
          <w:numId w:val="20"/>
        </w:numPr>
        <w:spacing w:before="0" w:beforeAutospacing="0" w:after="0" w:afterAutospacing="0"/>
        <w:textAlignment w:val="baseline"/>
        <w:rPr>
          <w:rStyle w:val="eop"/>
          <w:rFonts w:eastAsiaTheme="majorEastAsia" w:cs="Tahoma"/>
          <w:sz w:val="22"/>
          <w:szCs w:val="22"/>
        </w:rPr>
      </w:pPr>
      <w:r w:rsidRPr="02DD4B08">
        <w:rPr>
          <w:rStyle w:val="normaltextrun"/>
          <w:rFonts w:ascii="Tahoma" w:hAnsi="Tahoma" w:cs="Tahoma"/>
          <w:b/>
          <w:bCs/>
          <w:sz w:val="22"/>
          <w:szCs w:val="22"/>
        </w:rPr>
        <w:t>Recommendation:</w:t>
      </w:r>
      <w:r w:rsidRPr="02DD4B08">
        <w:rPr>
          <w:rStyle w:val="normaltextrun"/>
          <w:rFonts w:ascii="Tahoma" w:hAnsi="Tahoma" w:cs="Tahoma"/>
        </w:rPr>
        <w:t xml:space="preserve"> </w:t>
      </w:r>
      <w:r w:rsidRPr="02DD4B08">
        <w:rPr>
          <w:rStyle w:val="normaltextrun"/>
          <w:rFonts w:ascii="Tahoma" w:hAnsi="Tahoma" w:cs="Tahoma"/>
          <w:sz w:val="22"/>
          <w:szCs w:val="22"/>
        </w:rPr>
        <w:t xml:space="preserve">The bill should designate NHS England </w:t>
      </w:r>
      <w:r w:rsidR="382D5960" w:rsidRPr="02DD4B08">
        <w:rPr>
          <w:rStyle w:val="normaltextrun"/>
          <w:rFonts w:ascii="Tahoma" w:hAnsi="Tahoma" w:cs="Tahoma"/>
          <w:sz w:val="22"/>
          <w:szCs w:val="22"/>
        </w:rPr>
        <w:t xml:space="preserve">(and any successor body) </w:t>
      </w:r>
      <w:r w:rsidRPr="02DD4B08">
        <w:rPr>
          <w:rStyle w:val="normaltextrun"/>
          <w:rFonts w:ascii="Tahoma" w:hAnsi="Tahoma" w:cs="Tahoma"/>
          <w:sz w:val="22"/>
          <w:szCs w:val="22"/>
        </w:rPr>
        <w:t>as responsible for locating beds and facilitating admissions for individuals transferred from prison, ensuring timely and effective care.</w:t>
      </w:r>
      <w:r w:rsidRPr="02DD4B08">
        <w:rPr>
          <w:rStyle w:val="eop"/>
          <w:rFonts w:eastAsiaTheme="majorEastAsia" w:cs="Tahoma"/>
          <w:sz w:val="22"/>
          <w:szCs w:val="22"/>
        </w:rPr>
        <w:t> </w:t>
      </w:r>
    </w:p>
    <w:p w14:paraId="346E2662" w14:textId="77777777" w:rsidR="007E3F51" w:rsidRPr="007E3F51" w:rsidRDefault="007E3F51" w:rsidP="007E3F51">
      <w:pPr>
        <w:pStyle w:val="paragraph"/>
        <w:spacing w:before="0" w:beforeAutospacing="0" w:after="0" w:afterAutospacing="0"/>
        <w:textAlignment w:val="baseline"/>
        <w:rPr>
          <w:rFonts w:eastAsiaTheme="majorEastAsia" w:cs="Tahoma"/>
          <w:sz w:val="22"/>
          <w:szCs w:val="22"/>
        </w:rPr>
      </w:pPr>
    </w:p>
    <w:p w14:paraId="3AF65356" w14:textId="77777777" w:rsidR="003322C6" w:rsidRPr="00617E80" w:rsidRDefault="003322C6" w:rsidP="00F2104E">
      <w:pPr>
        <w:rPr>
          <w:rFonts w:ascii="Tahoma" w:hAnsi="Tahoma" w:cs="Tahoma"/>
          <w:b/>
          <w:bCs/>
        </w:rPr>
      </w:pPr>
      <w:r w:rsidRPr="00617E80">
        <w:rPr>
          <w:rFonts w:ascii="Tahoma" w:hAnsi="Tahoma" w:cs="Tahoma"/>
          <w:b/>
          <w:bCs/>
        </w:rPr>
        <w:t>Wider changes needed</w:t>
      </w:r>
    </w:p>
    <w:p w14:paraId="0FE4B297" w14:textId="77777777" w:rsidR="00434DC2" w:rsidRDefault="003322C6" w:rsidP="00434DC2">
      <w:pPr>
        <w:spacing w:after="0"/>
        <w:rPr>
          <w:rFonts w:ascii="Tahoma" w:hAnsi="Tahoma" w:cs="Tahoma"/>
        </w:rPr>
      </w:pPr>
      <w:r w:rsidRPr="00281D70">
        <w:rPr>
          <w:rFonts w:ascii="Tahoma" w:hAnsi="Tahoma" w:cs="Tahoma"/>
        </w:rPr>
        <w:t xml:space="preserve">Reforming the Mental Health Act is a crucial step, but it is not the only necessary change to build a truly effective and inclusive mental health support system for everyone. </w:t>
      </w:r>
    </w:p>
    <w:p w14:paraId="5757DDEB" w14:textId="77777777" w:rsidR="00434DC2" w:rsidRDefault="00434DC2" w:rsidP="00434DC2">
      <w:pPr>
        <w:spacing w:after="0"/>
        <w:rPr>
          <w:rFonts w:ascii="Tahoma" w:hAnsi="Tahoma" w:cs="Tahoma"/>
        </w:rPr>
      </w:pPr>
    </w:p>
    <w:p w14:paraId="4148798F" w14:textId="53A40B71" w:rsidR="003322C6" w:rsidRDefault="003322C6" w:rsidP="00434DC2">
      <w:pPr>
        <w:spacing w:after="0"/>
        <w:rPr>
          <w:rFonts w:ascii="Tahoma" w:hAnsi="Tahoma" w:cs="Tahoma"/>
        </w:rPr>
      </w:pPr>
      <w:r w:rsidRPr="0D4DE8CD">
        <w:rPr>
          <w:rFonts w:ascii="Tahoma" w:hAnsi="Tahoma" w:cs="Tahoma"/>
        </w:rPr>
        <w:t>The upcoming 10-year NHS health plan should include a strong focus on investing in high-quality community services for people experiencing mental health problems. This must be supported by adequate funding, both for the provision of services and the urgent updating of the mental health estate, and a well-defined workforce strategy to ensure that people receive coordinated, timely, and compassionate care across all settings.</w:t>
      </w:r>
      <w:r w:rsidR="0C078CE4" w:rsidRPr="0D4DE8CD">
        <w:rPr>
          <w:rFonts w:ascii="Tahoma" w:hAnsi="Tahoma" w:cs="Tahoma"/>
        </w:rPr>
        <w:t xml:space="preserve"> </w:t>
      </w:r>
      <w:r w:rsidR="001D3109" w:rsidRPr="0D4DE8CD">
        <w:rPr>
          <w:rFonts w:ascii="Tahoma" w:hAnsi="Tahoma" w:cs="Tahoma"/>
        </w:rPr>
        <w:t>Specifically,</w:t>
      </w:r>
      <w:r w:rsidR="0C078CE4" w:rsidRPr="0D4DE8CD">
        <w:rPr>
          <w:rFonts w:ascii="Tahoma" w:hAnsi="Tahoma" w:cs="Tahoma"/>
        </w:rPr>
        <w:t xml:space="preserve"> we need:</w:t>
      </w:r>
    </w:p>
    <w:p w14:paraId="0A0C64F8" w14:textId="2F450B9D" w:rsidR="009E308B" w:rsidRPr="00734E42" w:rsidRDefault="00CD3011" w:rsidP="0006516C">
      <w:pPr>
        <w:pStyle w:val="ListParagraph"/>
        <w:numPr>
          <w:ilvl w:val="0"/>
          <w:numId w:val="2"/>
        </w:numPr>
        <w:rPr>
          <w:rFonts w:ascii="Tahoma" w:hAnsi="Tahoma" w:cs="Tahoma"/>
        </w:rPr>
      </w:pPr>
      <w:r w:rsidRPr="00734E42">
        <w:rPr>
          <w:rFonts w:ascii="Tahoma" w:hAnsi="Tahoma" w:cs="Tahoma"/>
          <w:b/>
          <w:bCs/>
        </w:rPr>
        <w:t xml:space="preserve">Appoint a </w:t>
      </w:r>
      <w:r w:rsidR="009E308B" w:rsidRPr="00734E42">
        <w:rPr>
          <w:rFonts w:ascii="Tahoma" w:hAnsi="Tahoma" w:cs="Tahoma"/>
          <w:b/>
          <w:bCs/>
        </w:rPr>
        <w:t>Mental health commissioner</w:t>
      </w:r>
      <w:r w:rsidRPr="00734E42">
        <w:rPr>
          <w:rFonts w:ascii="Tahoma" w:hAnsi="Tahoma" w:cs="Tahoma"/>
        </w:rPr>
        <w:t xml:space="preserve"> as recommended by the Joint Committee on the </w:t>
      </w:r>
      <w:r w:rsidR="006138EC" w:rsidRPr="00734E42">
        <w:rPr>
          <w:rFonts w:ascii="Tahoma" w:hAnsi="Tahoma" w:cs="Tahoma"/>
        </w:rPr>
        <w:t xml:space="preserve">draft Mental Health Bill </w:t>
      </w:r>
      <w:r w:rsidRPr="00734E42">
        <w:rPr>
          <w:rFonts w:ascii="Tahoma" w:hAnsi="Tahoma" w:cs="Tahoma"/>
        </w:rPr>
        <w:t>the creation of a statutory Mental Health Commissioner to oversee the reforms and monitor outcomes.</w:t>
      </w:r>
      <w:r w:rsidR="00734E42">
        <w:rPr>
          <w:rFonts w:ascii="Tahoma" w:hAnsi="Tahoma" w:cs="Tahoma"/>
        </w:rPr>
        <w:t xml:space="preserve"> </w:t>
      </w:r>
    </w:p>
    <w:p w14:paraId="63A676E5" w14:textId="7B1259CF" w:rsidR="003322C6" w:rsidRDefault="0C078CE4" w:rsidP="00F2104E">
      <w:pPr>
        <w:pStyle w:val="ListParagraph"/>
        <w:numPr>
          <w:ilvl w:val="0"/>
          <w:numId w:val="2"/>
        </w:numPr>
        <w:rPr>
          <w:rFonts w:ascii="Tahoma" w:hAnsi="Tahoma" w:cs="Tahoma"/>
        </w:rPr>
      </w:pPr>
      <w:r w:rsidRPr="0D4DE8CD">
        <w:rPr>
          <w:rFonts w:ascii="Tahoma" w:hAnsi="Tahoma" w:cs="Tahoma"/>
          <w:b/>
          <w:bCs/>
        </w:rPr>
        <w:t>Revenue funding</w:t>
      </w:r>
      <w:r w:rsidRPr="0D4DE8CD">
        <w:rPr>
          <w:rFonts w:ascii="Tahoma" w:hAnsi="Tahoma" w:cs="Tahoma"/>
        </w:rPr>
        <w:t xml:space="preserve"> to ensure the continued expansion of mental health services, especially in community settings, and to end the use of out-of-area hospital admissions</w:t>
      </w:r>
      <w:r w:rsidR="6FA55B2D" w:rsidRPr="0D4DE8CD">
        <w:rPr>
          <w:rFonts w:ascii="Tahoma" w:hAnsi="Tahoma" w:cs="Tahoma"/>
        </w:rPr>
        <w:t>.</w:t>
      </w:r>
    </w:p>
    <w:p w14:paraId="6F67734C" w14:textId="7385855F" w:rsidR="003322C6" w:rsidRDefault="0C078CE4" w:rsidP="00F2104E">
      <w:pPr>
        <w:pStyle w:val="ListParagraph"/>
        <w:numPr>
          <w:ilvl w:val="0"/>
          <w:numId w:val="2"/>
        </w:numPr>
        <w:rPr>
          <w:rFonts w:ascii="Tahoma" w:hAnsi="Tahoma" w:cs="Tahoma"/>
        </w:rPr>
      </w:pPr>
      <w:r w:rsidRPr="0D4DE8CD">
        <w:rPr>
          <w:rFonts w:ascii="Tahoma" w:hAnsi="Tahoma" w:cs="Tahoma"/>
          <w:b/>
          <w:bCs/>
        </w:rPr>
        <w:t xml:space="preserve">Capital funding </w:t>
      </w:r>
      <w:r w:rsidRPr="0D4DE8CD">
        <w:rPr>
          <w:rFonts w:ascii="Tahoma" w:hAnsi="Tahoma" w:cs="Tahoma"/>
        </w:rPr>
        <w:t xml:space="preserve">to invest in modernised facilities for mental health care, including alternatives to hospital admissions, supported housing, </w:t>
      </w:r>
      <w:r w:rsidR="1E3EDCBC" w:rsidRPr="0D4DE8CD">
        <w:rPr>
          <w:rFonts w:ascii="Tahoma" w:hAnsi="Tahoma" w:cs="Tahoma"/>
        </w:rPr>
        <w:t xml:space="preserve">and </w:t>
      </w:r>
      <w:r w:rsidRPr="0D4DE8CD">
        <w:rPr>
          <w:rFonts w:ascii="Tahoma" w:hAnsi="Tahoma" w:cs="Tahoma"/>
        </w:rPr>
        <w:t>digital services</w:t>
      </w:r>
      <w:r w:rsidR="463AEEB9" w:rsidRPr="0D4DE8CD">
        <w:rPr>
          <w:rFonts w:ascii="Tahoma" w:hAnsi="Tahoma" w:cs="Tahoma"/>
        </w:rPr>
        <w:t>.</w:t>
      </w:r>
    </w:p>
    <w:p w14:paraId="19CC6B51" w14:textId="58E17B62" w:rsidR="00052574" w:rsidRDefault="15FC778A" w:rsidP="00434DC2">
      <w:pPr>
        <w:pStyle w:val="ListParagraph"/>
        <w:numPr>
          <w:ilvl w:val="0"/>
          <w:numId w:val="2"/>
        </w:numPr>
        <w:rPr>
          <w:rFonts w:ascii="Tahoma" w:hAnsi="Tahoma" w:cs="Tahoma"/>
        </w:rPr>
      </w:pPr>
      <w:r w:rsidRPr="0D4DE8CD">
        <w:rPr>
          <w:rFonts w:ascii="Tahoma" w:hAnsi="Tahoma" w:cs="Tahoma"/>
          <w:b/>
          <w:bCs/>
        </w:rPr>
        <w:lastRenderedPageBreak/>
        <w:t>A workforce plan</w:t>
      </w:r>
      <w:r w:rsidRPr="0D4DE8CD">
        <w:rPr>
          <w:rFonts w:ascii="Tahoma" w:hAnsi="Tahoma" w:cs="Tahoma"/>
        </w:rPr>
        <w:t xml:space="preserve"> that includes social care and the voluntary and community sector, not just the NHS</w:t>
      </w:r>
      <w:r w:rsidR="78DED571" w:rsidRPr="0D4DE8CD">
        <w:rPr>
          <w:rFonts w:ascii="Tahoma" w:hAnsi="Tahoma" w:cs="Tahoma"/>
        </w:rPr>
        <w:t>.</w:t>
      </w:r>
      <w:r w:rsidR="3C861C2C" w:rsidRPr="0D4DE8CD">
        <w:rPr>
          <w:rFonts w:ascii="Tahoma" w:hAnsi="Tahoma" w:cs="Tahoma"/>
        </w:rPr>
        <w:t xml:space="preserve"> The mental health workforce spans all three, yet current plans exclude those outside the NHS.</w:t>
      </w:r>
    </w:p>
    <w:p w14:paraId="678110EC" w14:textId="77777777" w:rsidR="006426AD" w:rsidRDefault="006426AD" w:rsidP="006426AD">
      <w:pPr>
        <w:rPr>
          <w:rFonts w:ascii="Tahoma" w:hAnsi="Tahoma" w:cs="Tahoma"/>
        </w:rPr>
      </w:pPr>
    </w:p>
    <w:p w14:paraId="18E6090C" w14:textId="77777777" w:rsidR="006426AD" w:rsidRPr="006426AD" w:rsidRDefault="006426AD" w:rsidP="006426AD">
      <w:pPr>
        <w:rPr>
          <w:rFonts w:ascii="Tahoma" w:hAnsi="Tahoma" w:cs="Tahoma"/>
        </w:rPr>
      </w:pPr>
    </w:p>
    <w:tbl>
      <w:tblPr>
        <w:tblStyle w:val="TableGrid"/>
        <w:tblW w:w="0" w:type="auto"/>
        <w:tblLook w:val="04A0" w:firstRow="1" w:lastRow="0" w:firstColumn="1" w:lastColumn="0" w:noHBand="0" w:noVBand="1"/>
      </w:tblPr>
      <w:tblGrid>
        <w:gridCol w:w="9016"/>
      </w:tblGrid>
      <w:tr w:rsidR="00911217" w14:paraId="33A9BC2F" w14:textId="77777777" w:rsidTr="02DD4B08">
        <w:trPr>
          <w:trHeight w:val="1970"/>
        </w:trPr>
        <w:tc>
          <w:tcPr>
            <w:tcW w:w="9016" w:type="dxa"/>
          </w:tcPr>
          <w:p w14:paraId="1FA24EC9" w14:textId="14D09639" w:rsidR="00911217" w:rsidRDefault="0E3E9EDB" w:rsidP="006426AD">
            <w:pPr>
              <w:spacing w:line="276" w:lineRule="auto"/>
              <w:rPr>
                <w:rFonts w:ascii="Tahoma" w:hAnsi="Tahoma" w:cs="Tahoma"/>
                <w:b/>
                <w:bCs/>
              </w:rPr>
            </w:pPr>
            <w:r w:rsidRPr="02DD4B08">
              <w:rPr>
                <w:rFonts w:ascii="Tahoma" w:hAnsi="Tahoma" w:cs="Tahoma"/>
                <w:b/>
                <w:bCs/>
              </w:rPr>
              <w:t>About Centre for Mental Health</w:t>
            </w:r>
          </w:p>
          <w:p w14:paraId="2D84A350" w14:textId="77777777" w:rsidR="006426AD" w:rsidRDefault="006426AD" w:rsidP="006426AD">
            <w:pPr>
              <w:spacing w:line="276" w:lineRule="auto"/>
              <w:rPr>
                <w:rFonts w:ascii="Tahoma" w:hAnsi="Tahoma" w:cs="Tahoma"/>
              </w:rPr>
            </w:pPr>
          </w:p>
          <w:p w14:paraId="68B67120" w14:textId="77777777" w:rsidR="006426AD" w:rsidRDefault="0E3E9EDB" w:rsidP="006426AD">
            <w:pPr>
              <w:spacing w:line="276" w:lineRule="auto"/>
              <w:rPr>
                <w:rFonts w:ascii="Tahoma" w:hAnsi="Tahoma" w:cs="Tahoma"/>
                <w:color w:val="1D252D"/>
              </w:rPr>
            </w:pPr>
            <w:r w:rsidRPr="02DD4B08">
              <w:rPr>
                <w:rFonts w:ascii="Tahoma" w:hAnsi="Tahoma" w:cs="Tahoma"/>
              </w:rPr>
              <w:t xml:space="preserve">Centre for Mental Health is an independent charity. We take the lead in challenging injustices in policies, systems and society, so that everyone can have better mental health. By building research evidence to create fairer mental health policy, we are pursuing equality, social justice and good mental health for all. </w:t>
            </w:r>
            <w:r w:rsidRPr="02DD4B08">
              <w:rPr>
                <w:rFonts w:ascii="Tahoma" w:hAnsi="Tahoma" w:cs="Tahoma"/>
                <w:color w:val="1D252D"/>
              </w:rPr>
              <w:t xml:space="preserve"> </w:t>
            </w:r>
          </w:p>
          <w:p w14:paraId="47244BBB" w14:textId="77777777" w:rsidR="006426AD" w:rsidRDefault="006426AD" w:rsidP="006426AD">
            <w:pPr>
              <w:spacing w:line="276" w:lineRule="auto"/>
              <w:rPr>
                <w:rFonts w:ascii="Tahoma" w:hAnsi="Tahoma" w:cs="Tahoma"/>
                <w:b/>
                <w:bCs/>
                <w:color w:val="1D252D"/>
              </w:rPr>
            </w:pPr>
          </w:p>
          <w:p w14:paraId="5AA36FA6" w14:textId="77777777" w:rsidR="00911217" w:rsidRDefault="72BD6E06" w:rsidP="006426AD">
            <w:pPr>
              <w:spacing w:line="276" w:lineRule="auto"/>
            </w:pPr>
            <w:r w:rsidRPr="02DD4B08">
              <w:rPr>
                <w:rFonts w:ascii="Tahoma" w:hAnsi="Tahoma" w:cs="Tahoma"/>
                <w:b/>
                <w:bCs/>
              </w:rPr>
              <w:t xml:space="preserve">For more information contact Kadra Abdinasir, Associate Director of Policy, on </w:t>
            </w:r>
            <w:hyperlink r:id="rId11">
              <w:r w:rsidR="2FA7FD0E" w:rsidRPr="02DD4B08">
                <w:rPr>
                  <w:rStyle w:val="Hyperlink"/>
                  <w:rFonts w:ascii="Tahoma" w:hAnsi="Tahoma" w:cs="Tahoma"/>
                  <w:b/>
                  <w:bCs/>
                </w:rPr>
                <w:t>Kadra.Abdinasir@centreformentalhealth.org.uk</w:t>
              </w:r>
            </w:hyperlink>
            <w:r w:rsidR="006426AD">
              <w:t>.</w:t>
            </w:r>
          </w:p>
          <w:p w14:paraId="183B3D42" w14:textId="348FF361" w:rsidR="006426AD" w:rsidRPr="00052574" w:rsidRDefault="006426AD" w:rsidP="006426AD">
            <w:pPr>
              <w:spacing w:line="276" w:lineRule="auto"/>
              <w:rPr>
                <w:rFonts w:ascii="Tahoma" w:hAnsi="Tahoma" w:cs="Tahoma"/>
                <w:color w:val="1D252D"/>
              </w:rPr>
            </w:pPr>
          </w:p>
        </w:tc>
      </w:tr>
    </w:tbl>
    <w:p w14:paraId="38F9FE94" w14:textId="77777777" w:rsidR="00FD1D19" w:rsidRPr="00FD1D19" w:rsidRDefault="00FD1D19" w:rsidP="00A87DD3">
      <w:pPr>
        <w:spacing w:before="240"/>
        <w:rPr>
          <w:rFonts w:ascii="Tahoma" w:hAnsi="Tahoma" w:cs="Tahoma"/>
          <w:color w:val="FF0000"/>
          <w:sz w:val="23"/>
          <w:szCs w:val="23"/>
        </w:rPr>
      </w:pPr>
    </w:p>
    <w:sectPr w:rsidR="00FD1D19" w:rsidRPr="00FD1D19" w:rsidSect="00F2104E">
      <w:headerReference w:type="default" r:id="rId12"/>
      <w:footerReference w:type="default" r:id="rId13"/>
      <w:pgSz w:w="11906" w:h="16838"/>
      <w:pgMar w:top="1440" w:right="1440" w:bottom="1440" w:left="1440" w:header="170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2310" w14:textId="77777777" w:rsidR="0092346D" w:rsidRDefault="0092346D" w:rsidP="0069557E">
      <w:pPr>
        <w:spacing w:after="0" w:line="240" w:lineRule="auto"/>
      </w:pPr>
      <w:r>
        <w:separator/>
      </w:r>
    </w:p>
  </w:endnote>
  <w:endnote w:type="continuationSeparator" w:id="0">
    <w:p w14:paraId="1656312B" w14:textId="77777777" w:rsidR="0092346D" w:rsidRDefault="0092346D" w:rsidP="0069557E">
      <w:pPr>
        <w:spacing w:after="0" w:line="240" w:lineRule="auto"/>
      </w:pPr>
      <w:r>
        <w:continuationSeparator/>
      </w:r>
    </w:p>
  </w:endnote>
  <w:endnote w:type="continuationNotice" w:id="1">
    <w:p w14:paraId="07560CFA" w14:textId="77777777" w:rsidR="0092346D" w:rsidRDefault="00923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63C8" w14:textId="77777777" w:rsidR="00FB4E2D" w:rsidRDefault="00E3543A">
    <w:pPr>
      <w:pStyle w:val="Footer"/>
    </w:pPr>
    <w:r>
      <w:rPr>
        <w:noProof/>
      </w:rPr>
      <mc:AlternateContent>
        <mc:Choice Requires="wps">
          <w:drawing>
            <wp:anchor distT="0" distB="0" distL="114300" distR="114300" simplePos="0" relativeHeight="251658241" behindDoc="0" locked="0" layoutInCell="1" allowOverlap="1" wp14:anchorId="0CA0B3FC" wp14:editId="0C257615">
              <wp:simplePos x="0" y="0"/>
              <wp:positionH relativeFrom="page">
                <wp:posOffset>-53340</wp:posOffset>
              </wp:positionH>
              <wp:positionV relativeFrom="paragraph">
                <wp:posOffset>139065</wp:posOffset>
              </wp:positionV>
              <wp:extent cx="7624703" cy="473710"/>
              <wp:effectExtent l="0" t="0" r="0" b="2540"/>
              <wp:wrapNone/>
              <wp:docPr id="2" name="Flowchart: Manual Input 2"/>
              <wp:cNvGraphicFramePr/>
              <a:graphic xmlns:a="http://schemas.openxmlformats.org/drawingml/2006/main">
                <a:graphicData uri="http://schemas.microsoft.com/office/word/2010/wordprocessingShape">
                  <wps:wsp>
                    <wps:cNvSpPr/>
                    <wps:spPr>
                      <a:xfrm>
                        <a:off x="0" y="0"/>
                        <a:ext cx="7624703" cy="47371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13"/>
                          <a:gd name="connsiteY0" fmla="*/ 6275 h 14275"/>
                          <a:gd name="connsiteX1" fmla="*/ 10013 w 10013"/>
                          <a:gd name="connsiteY1" fmla="*/ 0 h 14275"/>
                          <a:gd name="connsiteX2" fmla="*/ 10000 w 10013"/>
                          <a:gd name="connsiteY2" fmla="*/ 14275 h 14275"/>
                          <a:gd name="connsiteX3" fmla="*/ 0 w 10013"/>
                          <a:gd name="connsiteY3" fmla="*/ 14275 h 14275"/>
                          <a:gd name="connsiteX4" fmla="*/ 0 w 10013"/>
                          <a:gd name="connsiteY4" fmla="*/ 6275 h 14275"/>
                          <a:gd name="connsiteX0" fmla="*/ 0 w 10013"/>
                          <a:gd name="connsiteY0" fmla="*/ 4415 h 12415"/>
                          <a:gd name="connsiteX1" fmla="*/ 10013 w 10013"/>
                          <a:gd name="connsiteY1" fmla="*/ 0 h 12415"/>
                          <a:gd name="connsiteX2" fmla="*/ 10000 w 10013"/>
                          <a:gd name="connsiteY2" fmla="*/ 12415 h 12415"/>
                          <a:gd name="connsiteX3" fmla="*/ 0 w 10013"/>
                          <a:gd name="connsiteY3" fmla="*/ 12415 h 12415"/>
                          <a:gd name="connsiteX4" fmla="*/ 0 w 10013"/>
                          <a:gd name="connsiteY4" fmla="*/ 4415 h 12415"/>
                          <a:gd name="connsiteX0" fmla="*/ 0 w 10084"/>
                          <a:gd name="connsiteY0" fmla="*/ 7810 h 12415"/>
                          <a:gd name="connsiteX1" fmla="*/ 10084 w 10084"/>
                          <a:gd name="connsiteY1" fmla="*/ 0 h 12415"/>
                          <a:gd name="connsiteX2" fmla="*/ 10071 w 10084"/>
                          <a:gd name="connsiteY2" fmla="*/ 12415 h 12415"/>
                          <a:gd name="connsiteX3" fmla="*/ 71 w 10084"/>
                          <a:gd name="connsiteY3" fmla="*/ 12415 h 12415"/>
                          <a:gd name="connsiteX4" fmla="*/ 0 w 10084"/>
                          <a:gd name="connsiteY4" fmla="*/ 7810 h 12415"/>
                          <a:gd name="connsiteX0" fmla="*/ 0 w 10084"/>
                          <a:gd name="connsiteY0" fmla="*/ 6212 h 12415"/>
                          <a:gd name="connsiteX1" fmla="*/ 10084 w 10084"/>
                          <a:gd name="connsiteY1" fmla="*/ 0 h 12415"/>
                          <a:gd name="connsiteX2" fmla="*/ 10071 w 10084"/>
                          <a:gd name="connsiteY2" fmla="*/ 12415 h 12415"/>
                          <a:gd name="connsiteX3" fmla="*/ 71 w 10084"/>
                          <a:gd name="connsiteY3" fmla="*/ 12415 h 12415"/>
                          <a:gd name="connsiteX4" fmla="*/ 0 w 10084"/>
                          <a:gd name="connsiteY4" fmla="*/ 6212 h 124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84" h="12415">
                            <a:moveTo>
                              <a:pt x="0" y="6212"/>
                            </a:moveTo>
                            <a:lnTo>
                              <a:pt x="10084" y="0"/>
                            </a:lnTo>
                            <a:cubicBezTo>
                              <a:pt x="10080" y="4758"/>
                              <a:pt x="10075" y="7657"/>
                              <a:pt x="10071" y="12415"/>
                            </a:cubicBezTo>
                            <a:lnTo>
                              <a:pt x="71" y="12415"/>
                            </a:lnTo>
                            <a:cubicBezTo>
                              <a:pt x="47" y="10880"/>
                              <a:pt x="24" y="7747"/>
                              <a:pt x="0" y="6212"/>
                            </a:cubicBezTo>
                            <a:close/>
                          </a:path>
                        </a:pathLst>
                      </a:custGeom>
                      <a:solidFill>
                        <a:srgbClr val="78D6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lowchart: Manual Input 2" style="position:absolute;margin-left:-4.2pt;margin-top:10.95pt;width:600.35pt;height:37.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084,12415" o:spid="_x0000_s1026" fillcolor="#78d64b" stroked="f" strokeweight="1pt" path="m,6212l10084,v-4,4758,-9,7657,-13,12415l71,12415c47,10880,24,7747,,62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" w14:anchorId="609BB879">
              <v:stroke joinstyle="miter"/>
              <v:path arrowok="t" o:connecttype="custom" o:connectlocs="0,237027;7624703,0;7614873,473710;53684,473710;0,237027"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E3DD" w14:textId="77777777" w:rsidR="0092346D" w:rsidRDefault="0092346D" w:rsidP="0069557E">
      <w:pPr>
        <w:spacing w:after="0" w:line="240" w:lineRule="auto"/>
      </w:pPr>
      <w:r>
        <w:separator/>
      </w:r>
    </w:p>
  </w:footnote>
  <w:footnote w:type="continuationSeparator" w:id="0">
    <w:p w14:paraId="411D07FB" w14:textId="77777777" w:rsidR="0092346D" w:rsidRDefault="0092346D" w:rsidP="0069557E">
      <w:pPr>
        <w:spacing w:after="0" w:line="240" w:lineRule="auto"/>
      </w:pPr>
      <w:r>
        <w:continuationSeparator/>
      </w:r>
    </w:p>
  </w:footnote>
  <w:footnote w:type="continuationNotice" w:id="1">
    <w:p w14:paraId="3FF9FDC0" w14:textId="77777777" w:rsidR="0092346D" w:rsidRDefault="0092346D">
      <w:pPr>
        <w:spacing w:after="0" w:line="240" w:lineRule="auto"/>
      </w:pPr>
    </w:p>
  </w:footnote>
  <w:footnote w:id="2">
    <w:p w14:paraId="1202F813" w14:textId="69EC9C62" w:rsidR="00E90BA2" w:rsidRPr="00E90BA2" w:rsidRDefault="00E90BA2" w:rsidP="000A42D8">
      <w:pPr>
        <w:pStyle w:val="FootnoteText"/>
        <w:rPr>
          <w:lang w:val="en-US"/>
        </w:rPr>
      </w:pPr>
      <w:r>
        <w:rPr>
          <w:rStyle w:val="FootnoteReference"/>
        </w:rPr>
        <w:footnoteRef/>
      </w:r>
      <w:r>
        <w:t xml:space="preserve"> </w:t>
      </w:r>
      <w:r w:rsidRPr="00E90BA2">
        <w:t xml:space="preserve">NHS Digital (2024) Mental Health Act Statistics, Annual Figures, 2023-24. Available from: https://digital.nhs.uk/data-and-information/publications/statistical/mental-health-act-statistics-annual-figures/2023-24-annual-figures/community-treatment-orders#top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DE8E" w14:textId="5945CF00" w:rsidR="0069557E" w:rsidRDefault="00F2104E">
    <w:pPr>
      <w:pStyle w:val="Header"/>
    </w:pPr>
    <w:r>
      <w:rPr>
        <w:noProof/>
      </w:rPr>
      <w:drawing>
        <wp:anchor distT="0" distB="0" distL="114300" distR="114300" simplePos="0" relativeHeight="251658240" behindDoc="0" locked="0" layoutInCell="1" allowOverlap="1" wp14:anchorId="3B577365" wp14:editId="1E224AC7">
          <wp:simplePos x="0" y="0"/>
          <wp:positionH relativeFrom="column">
            <wp:posOffset>5580380</wp:posOffset>
          </wp:positionH>
          <wp:positionV relativeFrom="paragraph">
            <wp:posOffset>-868369</wp:posOffset>
          </wp:positionV>
          <wp:extent cx="839972" cy="839972"/>
          <wp:effectExtent l="0" t="0" r="0" b="0"/>
          <wp:wrapNone/>
          <wp:docPr id="1595362981" name="Picture 15953629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9972" cy="8399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296412E3" wp14:editId="1A0DE86B">
          <wp:simplePos x="0" y="0"/>
          <wp:positionH relativeFrom="page">
            <wp:align>left</wp:align>
          </wp:positionH>
          <wp:positionV relativeFrom="paragraph">
            <wp:posOffset>-1081567</wp:posOffset>
          </wp:positionV>
          <wp:extent cx="723900" cy="723900"/>
          <wp:effectExtent l="0" t="0" r="0" b="0"/>
          <wp:wrapNone/>
          <wp:docPr id="1875703153" name="Picture 187570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9C3">
      <w:rPr>
        <w:noProof/>
      </w:rPr>
      <w:t xml:space="preserve"> </w:t>
    </w:r>
    <w:r w:rsidR="002922B8" w:rsidRPr="002922B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587"/>
    <w:multiLevelType w:val="hybridMultilevel"/>
    <w:tmpl w:val="943A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4351A"/>
    <w:multiLevelType w:val="hybridMultilevel"/>
    <w:tmpl w:val="E30C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94F95"/>
    <w:multiLevelType w:val="hybridMultilevel"/>
    <w:tmpl w:val="91EC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F223E"/>
    <w:multiLevelType w:val="hybridMultilevel"/>
    <w:tmpl w:val="4CA264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F6187"/>
    <w:multiLevelType w:val="hybridMultilevel"/>
    <w:tmpl w:val="7FCC2A68"/>
    <w:lvl w:ilvl="0" w:tplc="3CF01462">
      <w:start w:val="1"/>
      <w:numFmt w:val="bullet"/>
      <w:lvlText w:val="-"/>
      <w:lvlJc w:val="left"/>
      <w:pPr>
        <w:ind w:left="720" w:hanging="360"/>
      </w:pPr>
      <w:rPr>
        <w:rFonts w:ascii="Aptos" w:hAnsi="Aptos" w:hint="default"/>
      </w:rPr>
    </w:lvl>
    <w:lvl w:ilvl="1" w:tplc="69A6656A">
      <w:start w:val="1"/>
      <w:numFmt w:val="bullet"/>
      <w:lvlText w:val="o"/>
      <w:lvlJc w:val="left"/>
      <w:pPr>
        <w:ind w:left="1440" w:hanging="360"/>
      </w:pPr>
      <w:rPr>
        <w:rFonts w:ascii="Courier New" w:hAnsi="Courier New" w:hint="default"/>
      </w:rPr>
    </w:lvl>
    <w:lvl w:ilvl="2" w:tplc="FB2C7F32">
      <w:start w:val="1"/>
      <w:numFmt w:val="bullet"/>
      <w:lvlText w:val=""/>
      <w:lvlJc w:val="left"/>
      <w:pPr>
        <w:ind w:left="2160" w:hanging="360"/>
      </w:pPr>
      <w:rPr>
        <w:rFonts w:ascii="Wingdings" w:hAnsi="Wingdings" w:hint="default"/>
      </w:rPr>
    </w:lvl>
    <w:lvl w:ilvl="3" w:tplc="21CE520A">
      <w:start w:val="1"/>
      <w:numFmt w:val="bullet"/>
      <w:lvlText w:val=""/>
      <w:lvlJc w:val="left"/>
      <w:pPr>
        <w:ind w:left="2880" w:hanging="360"/>
      </w:pPr>
      <w:rPr>
        <w:rFonts w:ascii="Symbol" w:hAnsi="Symbol" w:hint="default"/>
      </w:rPr>
    </w:lvl>
    <w:lvl w:ilvl="4" w:tplc="C8922378">
      <w:start w:val="1"/>
      <w:numFmt w:val="bullet"/>
      <w:lvlText w:val="o"/>
      <w:lvlJc w:val="left"/>
      <w:pPr>
        <w:ind w:left="3600" w:hanging="360"/>
      </w:pPr>
      <w:rPr>
        <w:rFonts w:ascii="Courier New" w:hAnsi="Courier New" w:hint="default"/>
      </w:rPr>
    </w:lvl>
    <w:lvl w:ilvl="5" w:tplc="F452702E">
      <w:start w:val="1"/>
      <w:numFmt w:val="bullet"/>
      <w:lvlText w:val=""/>
      <w:lvlJc w:val="left"/>
      <w:pPr>
        <w:ind w:left="4320" w:hanging="360"/>
      </w:pPr>
      <w:rPr>
        <w:rFonts w:ascii="Wingdings" w:hAnsi="Wingdings" w:hint="default"/>
      </w:rPr>
    </w:lvl>
    <w:lvl w:ilvl="6" w:tplc="FA08C78A">
      <w:start w:val="1"/>
      <w:numFmt w:val="bullet"/>
      <w:lvlText w:val=""/>
      <w:lvlJc w:val="left"/>
      <w:pPr>
        <w:ind w:left="5040" w:hanging="360"/>
      </w:pPr>
      <w:rPr>
        <w:rFonts w:ascii="Symbol" w:hAnsi="Symbol" w:hint="default"/>
      </w:rPr>
    </w:lvl>
    <w:lvl w:ilvl="7" w:tplc="7EB2E214">
      <w:start w:val="1"/>
      <w:numFmt w:val="bullet"/>
      <w:lvlText w:val="o"/>
      <w:lvlJc w:val="left"/>
      <w:pPr>
        <w:ind w:left="5760" w:hanging="360"/>
      </w:pPr>
      <w:rPr>
        <w:rFonts w:ascii="Courier New" w:hAnsi="Courier New" w:hint="default"/>
      </w:rPr>
    </w:lvl>
    <w:lvl w:ilvl="8" w:tplc="AD5AE988">
      <w:start w:val="1"/>
      <w:numFmt w:val="bullet"/>
      <w:lvlText w:val=""/>
      <w:lvlJc w:val="left"/>
      <w:pPr>
        <w:ind w:left="6480" w:hanging="360"/>
      </w:pPr>
      <w:rPr>
        <w:rFonts w:ascii="Wingdings" w:hAnsi="Wingdings" w:hint="default"/>
      </w:rPr>
    </w:lvl>
  </w:abstractNum>
  <w:abstractNum w:abstractNumId="5" w15:restartNumberingAfterBreak="0">
    <w:nsid w:val="1BCE6CB5"/>
    <w:multiLevelType w:val="hybridMultilevel"/>
    <w:tmpl w:val="995039D2"/>
    <w:lvl w:ilvl="0" w:tplc="D34CCC0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4F58"/>
    <w:multiLevelType w:val="hybridMultilevel"/>
    <w:tmpl w:val="4FC24398"/>
    <w:lvl w:ilvl="0" w:tplc="BDDAFFA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63979"/>
    <w:multiLevelType w:val="hybridMultilevel"/>
    <w:tmpl w:val="4578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957E6"/>
    <w:multiLevelType w:val="hybridMultilevel"/>
    <w:tmpl w:val="D9AE9CDA"/>
    <w:lvl w:ilvl="0" w:tplc="5D700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5F7359"/>
    <w:multiLevelType w:val="hybridMultilevel"/>
    <w:tmpl w:val="AF3AC998"/>
    <w:lvl w:ilvl="0" w:tplc="445A8FC4">
      <w:start w:val="1"/>
      <w:numFmt w:val="bullet"/>
      <w:lvlText w:val=""/>
      <w:lvlJc w:val="left"/>
      <w:pPr>
        <w:ind w:left="720" w:hanging="360"/>
      </w:pPr>
      <w:rPr>
        <w:rFonts w:ascii="Symbol" w:hAnsi="Symbol" w:hint="default"/>
      </w:rPr>
    </w:lvl>
    <w:lvl w:ilvl="1" w:tplc="B4B4E960">
      <w:start w:val="1"/>
      <w:numFmt w:val="bullet"/>
      <w:lvlText w:val="o"/>
      <w:lvlJc w:val="left"/>
      <w:pPr>
        <w:ind w:left="1440" w:hanging="360"/>
      </w:pPr>
      <w:rPr>
        <w:rFonts w:ascii="Courier New" w:hAnsi="Courier New" w:hint="default"/>
      </w:rPr>
    </w:lvl>
    <w:lvl w:ilvl="2" w:tplc="B8AC3D02">
      <w:start w:val="1"/>
      <w:numFmt w:val="bullet"/>
      <w:lvlText w:val=""/>
      <w:lvlJc w:val="left"/>
      <w:pPr>
        <w:ind w:left="2160" w:hanging="360"/>
      </w:pPr>
      <w:rPr>
        <w:rFonts w:ascii="Wingdings" w:hAnsi="Wingdings" w:hint="default"/>
      </w:rPr>
    </w:lvl>
    <w:lvl w:ilvl="3" w:tplc="F920D45C">
      <w:start w:val="1"/>
      <w:numFmt w:val="bullet"/>
      <w:lvlText w:val=""/>
      <w:lvlJc w:val="left"/>
      <w:pPr>
        <w:ind w:left="2880" w:hanging="360"/>
      </w:pPr>
      <w:rPr>
        <w:rFonts w:ascii="Symbol" w:hAnsi="Symbol" w:hint="default"/>
      </w:rPr>
    </w:lvl>
    <w:lvl w:ilvl="4" w:tplc="5A807E5E">
      <w:start w:val="1"/>
      <w:numFmt w:val="bullet"/>
      <w:lvlText w:val="o"/>
      <w:lvlJc w:val="left"/>
      <w:pPr>
        <w:ind w:left="3600" w:hanging="360"/>
      </w:pPr>
      <w:rPr>
        <w:rFonts w:ascii="Courier New" w:hAnsi="Courier New" w:hint="default"/>
      </w:rPr>
    </w:lvl>
    <w:lvl w:ilvl="5" w:tplc="60B46048">
      <w:start w:val="1"/>
      <w:numFmt w:val="bullet"/>
      <w:lvlText w:val=""/>
      <w:lvlJc w:val="left"/>
      <w:pPr>
        <w:ind w:left="4320" w:hanging="360"/>
      </w:pPr>
      <w:rPr>
        <w:rFonts w:ascii="Wingdings" w:hAnsi="Wingdings" w:hint="default"/>
      </w:rPr>
    </w:lvl>
    <w:lvl w:ilvl="6" w:tplc="47DC16EC">
      <w:start w:val="1"/>
      <w:numFmt w:val="bullet"/>
      <w:lvlText w:val=""/>
      <w:lvlJc w:val="left"/>
      <w:pPr>
        <w:ind w:left="5040" w:hanging="360"/>
      </w:pPr>
      <w:rPr>
        <w:rFonts w:ascii="Symbol" w:hAnsi="Symbol" w:hint="default"/>
      </w:rPr>
    </w:lvl>
    <w:lvl w:ilvl="7" w:tplc="A6440C94">
      <w:start w:val="1"/>
      <w:numFmt w:val="bullet"/>
      <w:lvlText w:val="o"/>
      <w:lvlJc w:val="left"/>
      <w:pPr>
        <w:ind w:left="5760" w:hanging="360"/>
      </w:pPr>
      <w:rPr>
        <w:rFonts w:ascii="Courier New" w:hAnsi="Courier New" w:hint="default"/>
      </w:rPr>
    </w:lvl>
    <w:lvl w:ilvl="8" w:tplc="F28A1E10">
      <w:start w:val="1"/>
      <w:numFmt w:val="bullet"/>
      <w:lvlText w:val=""/>
      <w:lvlJc w:val="left"/>
      <w:pPr>
        <w:ind w:left="6480" w:hanging="360"/>
      </w:pPr>
      <w:rPr>
        <w:rFonts w:ascii="Wingdings" w:hAnsi="Wingdings" w:hint="default"/>
      </w:rPr>
    </w:lvl>
  </w:abstractNum>
  <w:abstractNum w:abstractNumId="10" w15:restartNumberingAfterBreak="0">
    <w:nsid w:val="347A6DB8"/>
    <w:multiLevelType w:val="hybridMultilevel"/>
    <w:tmpl w:val="04AC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52AF3"/>
    <w:multiLevelType w:val="hybridMultilevel"/>
    <w:tmpl w:val="F2F65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06E2D"/>
    <w:multiLevelType w:val="multilevel"/>
    <w:tmpl w:val="02E6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5849C9"/>
    <w:multiLevelType w:val="hybridMultilevel"/>
    <w:tmpl w:val="D716FB6A"/>
    <w:lvl w:ilvl="0" w:tplc="78F6E12E">
      <w:numFmt w:val="bullet"/>
      <w:lvlText w:val=""/>
      <w:lvlJc w:val="left"/>
      <w:pPr>
        <w:ind w:left="36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C5470"/>
    <w:multiLevelType w:val="hybridMultilevel"/>
    <w:tmpl w:val="265C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C62DF"/>
    <w:multiLevelType w:val="hybridMultilevel"/>
    <w:tmpl w:val="8A84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800C6"/>
    <w:multiLevelType w:val="hybridMultilevel"/>
    <w:tmpl w:val="4DFC2174"/>
    <w:lvl w:ilvl="0" w:tplc="BBDC6E0C">
      <w:start w:val="1"/>
      <w:numFmt w:val="bullet"/>
      <w:lvlText w:val=""/>
      <w:lvlJc w:val="left"/>
      <w:pPr>
        <w:ind w:left="720" w:hanging="360"/>
      </w:pPr>
      <w:rPr>
        <w:rFonts w:ascii="Symbol" w:hAnsi="Symbol" w:hint="default"/>
      </w:rPr>
    </w:lvl>
    <w:lvl w:ilvl="1" w:tplc="2436A17C">
      <w:start w:val="1"/>
      <w:numFmt w:val="bullet"/>
      <w:lvlText w:val="o"/>
      <w:lvlJc w:val="left"/>
      <w:pPr>
        <w:ind w:left="1440" w:hanging="360"/>
      </w:pPr>
      <w:rPr>
        <w:rFonts w:ascii="Courier New" w:hAnsi="Courier New" w:hint="default"/>
      </w:rPr>
    </w:lvl>
    <w:lvl w:ilvl="2" w:tplc="801E8404">
      <w:start w:val="1"/>
      <w:numFmt w:val="bullet"/>
      <w:lvlText w:val=""/>
      <w:lvlJc w:val="left"/>
      <w:pPr>
        <w:ind w:left="2160" w:hanging="360"/>
      </w:pPr>
      <w:rPr>
        <w:rFonts w:ascii="Wingdings" w:hAnsi="Wingdings" w:hint="default"/>
      </w:rPr>
    </w:lvl>
    <w:lvl w:ilvl="3" w:tplc="F7B46EAC">
      <w:start w:val="1"/>
      <w:numFmt w:val="bullet"/>
      <w:lvlText w:val=""/>
      <w:lvlJc w:val="left"/>
      <w:pPr>
        <w:ind w:left="2880" w:hanging="360"/>
      </w:pPr>
      <w:rPr>
        <w:rFonts w:ascii="Symbol" w:hAnsi="Symbol" w:hint="default"/>
      </w:rPr>
    </w:lvl>
    <w:lvl w:ilvl="4" w:tplc="5224B978">
      <w:start w:val="1"/>
      <w:numFmt w:val="bullet"/>
      <w:lvlText w:val="o"/>
      <w:lvlJc w:val="left"/>
      <w:pPr>
        <w:ind w:left="3600" w:hanging="360"/>
      </w:pPr>
      <w:rPr>
        <w:rFonts w:ascii="Courier New" w:hAnsi="Courier New" w:hint="default"/>
      </w:rPr>
    </w:lvl>
    <w:lvl w:ilvl="5" w:tplc="CBCCF672">
      <w:start w:val="1"/>
      <w:numFmt w:val="bullet"/>
      <w:lvlText w:val=""/>
      <w:lvlJc w:val="left"/>
      <w:pPr>
        <w:ind w:left="4320" w:hanging="360"/>
      </w:pPr>
      <w:rPr>
        <w:rFonts w:ascii="Wingdings" w:hAnsi="Wingdings" w:hint="default"/>
      </w:rPr>
    </w:lvl>
    <w:lvl w:ilvl="6" w:tplc="F69ECA34">
      <w:start w:val="1"/>
      <w:numFmt w:val="bullet"/>
      <w:lvlText w:val=""/>
      <w:lvlJc w:val="left"/>
      <w:pPr>
        <w:ind w:left="5040" w:hanging="360"/>
      </w:pPr>
      <w:rPr>
        <w:rFonts w:ascii="Symbol" w:hAnsi="Symbol" w:hint="default"/>
      </w:rPr>
    </w:lvl>
    <w:lvl w:ilvl="7" w:tplc="D17864A6">
      <w:start w:val="1"/>
      <w:numFmt w:val="bullet"/>
      <w:lvlText w:val="o"/>
      <w:lvlJc w:val="left"/>
      <w:pPr>
        <w:ind w:left="5760" w:hanging="360"/>
      </w:pPr>
      <w:rPr>
        <w:rFonts w:ascii="Courier New" w:hAnsi="Courier New" w:hint="default"/>
      </w:rPr>
    </w:lvl>
    <w:lvl w:ilvl="8" w:tplc="8FF4E652">
      <w:start w:val="1"/>
      <w:numFmt w:val="bullet"/>
      <w:lvlText w:val=""/>
      <w:lvlJc w:val="left"/>
      <w:pPr>
        <w:ind w:left="6480" w:hanging="360"/>
      </w:pPr>
      <w:rPr>
        <w:rFonts w:ascii="Wingdings" w:hAnsi="Wingdings" w:hint="default"/>
      </w:rPr>
    </w:lvl>
  </w:abstractNum>
  <w:abstractNum w:abstractNumId="17" w15:restartNumberingAfterBreak="0">
    <w:nsid w:val="64C470F8"/>
    <w:multiLevelType w:val="hybridMultilevel"/>
    <w:tmpl w:val="3D0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F1DA1"/>
    <w:multiLevelType w:val="hybridMultilevel"/>
    <w:tmpl w:val="AFB67CEA"/>
    <w:lvl w:ilvl="0" w:tplc="78F6E12E">
      <w:numFmt w:val="bullet"/>
      <w:lvlText w:val=""/>
      <w:lvlJc w:val="left"/>
      <w:pPr>
        <w:ind w:left="36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A6867"/>
    <w:multiLevelType w:val="hybridMultilevel"/>
    <w:tmpl w:val="32180B2A"/>
    <w:lvl w:ilvl="0" w:tplc="78F6E12E">
      <w:numFmt w:val="bullet"/>
      <w:lvlText w:val=""/>
      <w:lvlJc w:val="left"/>
      <w:pPr>
        <w:ind w:left="360" w:hanging="360"/>
      </w:pPr>
      <w:rPr>
        <w:rFonts w:ascii="Symbol" w:eastAsiaTheme="minorHAnsi" w:hAnsi="Symbol"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1221D0"/>
    <w:multiLevelType w:val="hybridMultilevel"/>
    <w:tmpl w:val="4BBA9E60"/>
    <w:lvl w:ilvl="0" w:tplc="DF94C74C">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B579E"/>
    <w:multiLevelType w:val="hybridMultilevel"/>
    <w:tmpl w:val="0C2A0B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8757F4"/>
    <w:multiLevelType w:val="hybridMultilevel"/>
    <w:tmpl w:val="0BF412BA"/>
    <w:lvl w:ilvl="0" w:tplc="EEC0E500">
      <w:start w:val="1"/>
      <w:numFmt w:val="bullet"/>
      <w:lvlText w:val=""/>
      <w:lvlJc w:val="left"/>
      <w:pPr>
        <w:ind w:left="1080" w:hanging="360"/>
      </w:pPr>
      <w:rPr>
        <w:rFonts w:ascii="Symbol" w:hAnsi="Symbol"/>
      </w:rPr>
    </w:lvl>
    <w:lvl w:ilvl="1" w:tplc="C6D453B4">
      <w:start w:val="1"/>
      <w:numFmt w:val="bullet"/>
      <w:lvlText w:val=""/>
      <w:lvlJc w:val="left"/>
      <w:pPr>
        <w:ind w:left="1080" w:hanging="360"/>
      </w:pPr>
      <w:rPr>
        <w:rFonts w:ascii="Symbol" w:hAnsi="Symbol"/>
      </w:rPr>
    </w:lvl>
    <w:lvl w:ilvl="2" w:tplc="AA7A8ACA">
      <w:start w:val="1"/>
      <w:numFmt w:val="bullet"/>
      <w:lvlText w:val=""/>
      <w:lvlJc w:val="left"/>
      <w:pPr>
        <w:ind w:left="1080" w:hanging="360"/>
      </w:pPr>
      <w:rPr>
        <w:rFonts w:ascii="Symbol" w:hAnsi="Symbol"/>
      </w:rPr>
    </w:lvl>
    <w:lvl w:ilvl="3" w:tplc="F3083194">
      <w:start w:val="1"/>
      <w:numFmt w:val="bullet"/>
      <w:lvlText w:val=""/>
      <w:lvlJc w:val="left"/>
      <w:pPr>
        <w:ind w:left="1080" w:hanging="360"/>
      </w:pPr>
      <w:rPr>
        <w:rFonts w:ascii="Symbol" w:hAnsi="Symbol"/>
      </w:rPr>
    </w:lvl>
    <w:lvl w:ilvl="4" w:tplc="516C0BC2">
      <w:start w:val="1"/>
      <w:numFmt w:val="bullet"/>
      <w:lvlText w:val=""/>
      <w:lvlJc w:val="left"/>
      <w:pPr>
        <w:ind w:left="1080" w:hanging="360"/>
      </w:pPr>
      <w:rPr>
        <w:rFonts w:ascii="Symbol" w:hAnsi="Symbol"/>
      </w:rPr>
    </w:lvl>
    <w:lvl w:ilvl="5" w:tplc="4F249B0E">
      <w:start w:val="1"/>
      <w:numFmt w:val="bullet"/>
      <w:lvlText w:val=""/>
      <w:lvlJc w:val="left"/>
      <w:pPr>
        <w:ind w:left="1080" w:hanging="360"/>
      </w:pPr>
      <w:rPr>
        <w:rFonts w:ascii="Symbol" w:hAnsi="Symbol"/>
      </w:rPr>
    </w:lvl>
    <w:lvl w:ilvl="6" w:tplc="E0EC75B0">
      <w:start w:val="1"/>
      <w:numFmt w:val="bullet"/>
      <w:lvlText w:val=""/>
      <w:lvlJc w:val="left"/>
      <w:pPr>
        <w:ind w:left="1080" w:hanging="360"/>
      </w:pPr>
      <w:rPr>
        <w:rFonts w:ascii="Symbol" w:hAnsi="Symbol"/>
      </w:rPr>
    </w:lvl>
    <w:lvl w:ilvl="7" w:tplc="4FCA63B2">
      <w:start w:val="1"/>
      <w:numFmt w:val="bullet"/>
      <w:lvlText w:val=""/>
      <w:lvlJc w:val="left"/>
      <w:pPr>
        <w:ind w:left="1080" w:hanging="360"/>
      </w:pPr>
      <w:rPr>
        <w:rFonts w:ascii="Symbol" w:hAnsi="Symbol"/>
      </w:rPr>
    </w:lvl>
    <w:lvl w:ilvl="8" w:tplc="160E56F8">
      <w:start w:val="1"/>
      <w:numFmt w:val="bullet"/>
      <w:lvlText w:val=""/>
      <w:lvlJc w:val="left"/>
      <w:pPr>
        <w:ind w:left="1080" w:hanging="360"/>
      </w:pPr>
      <w:rPr>
        <w:rFonts w:ascii="Symbol" w:hAnsi="Symbol"/>
      </w:rPr>
    </w:lvl>
  </w:abstractNum>
  <w:abstractNum w:abstractNumId="23" w15:restartNumberingAfterBreak="0">
    <w:nsid w:val="7C8146AA"/>
    <w:multiLevelType w:val="hybridMultilevel"/>
    <w:tmpl w:val="48D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D2FA4"/>
    <w:multiLevelType w:val="hybridMultilevel"/>
    <w:tmpl w:val="114A8DF2"/>
    <w:lvl w:ilvl="0" w:tplc="2C1ECA36">
      <w:start w:val="3"/>
      <w:numFmt w:val="bullet"/>
      <w:lvlText w:val=""/>
      <w:lvlJc w:val="left"/>
      <w:pPr>
        <w:ind w:left="360" w:hanging="360"/>
      </w:pPr>
      <w:rPr>
        <w:rFonts w:ascii="Symbol" w:eastAsiaTheme="minorHAnsi" w:hAnsi="Symbol"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6642830">
    <w:abstractNumId w:val="4"/>
  </w:num>
  <w:num w:numId="2" w16cid:durableId="1384451800">
    <w:abstractNumId w:val="16"/>
  </w:num>
  <w:num w:numId="3" w16cid:durableId="981076944">
    <w:abstractNumId w:val="15"/>
  </w:num>
  <w:num w:numId="4" w16cid:durableId="1205486634">
    <w:abstractNumId w:val="11"/>
  </w:num>
  <w:num w:numId="5" w16cid:durableId="2096129456">
    <w:abstractNumId w:val="20"/>
  </w:num>
  <w:num w:numId="6" w16cid:durableId="1695644912">
    <w:abstractNumId w:val="5"/>
  </w:num>
  <w:num w:numId="7" w16cid:durableId="1848980834">
    <w:abstractNumId w:val="3"/>
  </w:num>
  <w:num w:numId="8" w16cid:durableId="1859538724">
    <w:abstractNumId w:val="17"/>
  </w:num>
  <w:num w:numId="9" w16cid:durableId="410005202">
    <w:abstractNumId w:val="6"/>
  </w:num>
  <w:num w:numId="10" w16cid:durableId="516232806">
    <w:abstractNumId w:val="21"/>
  </w:num>
  <w:num w:numId="11" w16cid:durableId="458764094">
    <w:abstractNumId w:val="24"/>
  </w:num>
  <w:num w:numId="12" w16cid:durableId="571349677">
    <w:abstractNumId w:val="9"/>
  </w:num>
  <w:num w:numId="13" w16cid:durableId="971641150">
    <w:abstractNumId w:val="19"/>
  </w:num>
  <w:num w:numId="14" w16cid:durableId="1763407598">
    <w:abstractNumId w:val="18"/>
  </w:num>
  <w:num w:numId="15" w16cid:durableId="1121800335">
    <w:abstractNumId w:val="13"/>
  </w:num>
  <w:num w:numId="16" w16cid:durableId="1185631483">
    <w:abstractNumId w:val="1"/>
  </w:num>
  <w:num w:numId="17" w16cid:durableId="1736926527">
    <w:abstractNumId w:val="22"/>
  </w:num>
  <w:num w:numId="18" w16cid:durableId="815954348">
    <w:abstractNumId w:val="12"/>
  </w:num>
  <w:num w:numId="19" w16cid:durableId="1788161544">
    <w:abstractNumId w:val="10"/>
  </w:num>
  <w:num w:numId="20" w16cid:durableId="531504939">
    <w:abstractNumId w:val="23"/>
  </w:num>
  <w:num w:numId="21" w16cid:durableId="457069242">
    <w:abstractNumId w:val="0"/>
  </w:num>
  <w:num w:numId="22" w16cid:durableId="1404722012">
    <w:abstractNumId w:val="7"/>
  </w:num>
  <w:num w:numId="23" w16cid:durableId="1223325478">
    <w:abstractNumId w:val="14"/>
  </w:num>
  <w:num w:numId="24" w16cid:durableId="1732535319">
    <w:abstractNumId w:val="2"/>
  </w:num>
  <w:num w:numId="25" w16cid:durableId="976911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A9"/>
    <w:rsid w:val="00004463"/>
    <w:rsid w:val="00005920"/>
    <w:rsid w:val="000176DB"/>
    <w:rsid w:val="00025CD3"/>
    <w:rsid w:val="00026996"/>
    <w:rsid w:val="0003156D"/>
    <w:rsid w:val="0003714D"/>
    <w:rsid w:val="00037C1D"/>
    <w:rsid w:val="00044858"/>
    <w:rsid w:val="00051163"/>
    <w:rsid w:val="00052574"/>
    <w:rsid w:val="00052D5E"/>
    <w:rsid w:val="00053D60"/>
    <w:rsid w:val="00061055"/>
    <w:rsid w:val="00065DC6"/>
    <w:rsid w:val="0007142C"/>
    <w:rsid w:val="000730CD"/>
    <w:rsid w:val="00076D05"/>
    <w:rsid w:val="00080A11"/>
    <w:rsid w:val="000833C4"/>
    <w:rsid w:val="00093079"/>
    <w:rsid w:val="00093E6A"/>
    <w:rsid w:val="000944A2"/>
    <w:rsid w:val="0009697B"/>
    <w:rsid w:val="00097FE6"/>
    <w:rsid w:val="000A42D8"/>
    <w:rsid w:val="000B26DD"/>
    <w:rsid w:val="000B60A6"/>
    <w:rsid w:val="000B6A4E"/>
    <w:rsid w:val="000F0A64"/>
    <w:rsid w:val="000F2C1A"/>
    <w:rsid w:val="000F51F4"/>
    <w:rsid w:val="000F5E67"/>
    <w:rsid w:val="00113786"/>
    <w:rsid w:val="001148E8"/>
    <w:rsid w:val="00121B40"/>
    <w:rsid w:val="0012386E"/>
    <w:rsid w:val="001265B7"/>
    <w:rsid w:val="00151F49"/>
    <w:rsid w:val="00154098"/>
    <w:rsid w:val="00155305"/>
    <w:rsid w:val="00166C31"/>
    <w:rsid w:val="0017083D"/>
    <w:rsid w:val="001715EC"/>
    <w:rsid w:val="001839EA"/>
    <w:rsid w:val="00187E4D"/>
    <w:rsid w:val="001A3DC9"/>
    <w:rsid w:val="001A4488"/>
    <w:rsid w:val="001B4EAF"/>
    <w:rsid w:val="001C04B5"/>
    <w:rsid w:val="001C4FBC"/>
    <w:rsid w:val="001C79FE"/>
    <w:rsid w:val="001D3109"/>
    <w:rsid w:val="001E0BDC"/>
    <w:rsid w:val="001E4022"/>
    <w:rsid w:val="001F4E94"/>
    <w:rsid w:val="001F5823"/>
    <w:rsid w:val="002037BF"/>
    <w:rsid w:val="002040A2"/>
    <w:rsid w:val="00205B8B"/>
    <w:rsid w:val="0021195B"/>
    <w:rsid w:val="0021598C"/>
    <w:rsid w:val="00236EE9"/>
    <w:rsid w:val="00240636"/>
    <w:rsid w:val="002407AD"/>
    <w:rsid w:val="00245C09"/>
    <w:rsid w:val="00247736"/>
    <w:rsid w:val="00247CAB"/>
    <w:rsid w:val="00247FBD"/>
    <w:rsid w:val="00254238"/>
    <w:rsid w:val="002572A6"/>
    <w:rsid w:val="002603D3"/>
    <w:rsid w:val="00261669"/>
    <w:rsid w:val="00263CCA"/>
    <w:rsid w:val="002676D1"/>
    <w:rsid w:val="00270040"/>
    <w:rsid w:val="002700E5"/>
    <w:rsid w:val="00280151"/>
    <w:rsid w:val="00280E24"/>
    <w:rsid w:val="002922B8"/>
    <w:rsid w:val="00295B52"/>
    <w:rsid w:val="002A3658"/>
    <w:rsid w:val="002A4142"/>
    <w:rsid w:val="002A5370"/>
    <w:rsid w:val="002A6428"/>
    <w:rsid w:val="002B7892"/>
    <w:rsid w:val="002C1DE6"/>
    <w:rsid w:val="002D0934"/>
    <w:rsid w:val="002D6910"/>
    <w:rsid w:val="002F1833"/>
    <w:rsid w:val="002F2CDF"/>
    <w:rsid w:val="002F3851"/>
    <w:rsid w:val="00301AEC"/>
    <w:rsid w:val="00305D18"/>
    <w:rsid w:val="00314A9D"/>
    <w:rsid w:val="00314BD6"/>
    <w:rsid w:val="00320B1C"/>
    <w:rsid w:val="00322830"/>
    <w:rsid w:val="00331E83"/>
    <w:rsid w:val="003322C6"/>
    <w:rsid w:val="00333DDD"/>
    <w:rsid w:val="003358F2"/>
    <w:rsid w:val="00337CE7"/>
    <w:rsid w:val="00346FD7"/>
    <w:rsid w:val="00347A62"/>
    <w:rsid w:val="003535A4"/>
    <w:rsid w:val="00354189"/>
    <w:rsid w:val="00356B05"/>
    <w:rsid w:val="00357200"/>
    <w:rsid w:val="00364341"/>
    <w:rsid w:val="00366B99"/>
    <w:rsid w:val="003742D5"/>
    <w:rsid w:val="00376354"/>
    <w:rsid w:val="00387CEE"/>
    <w:rsid w:val="003918B0"/>
    <w:rsid w:val="003945D0"/>
    <w:rsid w:val="00396C50"/>
    <w:rsid w:val="00396D32"/>
    <w:rsid w:val="003C3000"/>
    <w:rsid w:val="003D071A"/>
    <w:rsid w:val="003E403A"/>
    <w:rsid w:val="003F73B5"/>
    <w:rsid w:val="00401389"/>
    <w:rsid w:val="00410B59"/>
    <w:rsid w:val="0041264C"/>
    <w:rsid w:val="0041658E"/>
    <w:rsid w:val="0042212B"/>
    <w:rsid w:val="00430102"/>
    <w:rsid w:val="004323D3"/>
    <w:rsid w:val="00434DC2"/>
    <w:rsid w:val="004478E6"/>
    <w:rsid w:val="00450EC0"/>
    <w:rsid w:val="004548FC"/>
    <w:rsid w:val="0045746D"/>
    <w:rsid w:val="004615D4"/>
    <w:rsid w:val="0046586D"/>
    <w:rsid w:val="004717ED"/>
    <w:rsid w:val="00471A25"/>
    <w:rsid w:val="00474ADB"/>
    <w:rsid w:val="00483828"/>
    <w:rsid w:val="0048700A"/>
    <w:rsid w:val="004A3271"/>
    <w:rsid w:val="004B1D62"/>
    <w:rsid w:val="004B77E1"/>
    <w:rsid w:val="004D00C2"/>
    <w:rsid w:val="004E1A59"/>
    <w:rsid w:val="004F7198"/>
    <w:rsid w:val="0050745A"/>
    <w:rsid w:val="00510FDF"/>
    <w:rsid w:val="00514B49"/>
    <w:rsid w:val="00520CC7"/>
    <w:rsid w:val="00531039"/>
    <w:rsid w:val="00542DEA"/>
    <w:rsid w:val="0055309A"/>
    <w:rsid w:val="00553DAA"/>
    <w:rsid w:val="0055564D"/>
    <w:rsid w:val="00562FCC"/>
    <w:rsid w:val="00571CE4"/>
    <w:rsid w:val="00580491"/>
    <w:rsid w:val="00580EE8"/>
    <w:rsid w:val="00587C47"/>
    <w:rsid w:val="00590CC2"/>
    <w:rsid w:val="005A2B81"/>
    <w:rsid w:val="005A3D13"/>
    <w:rsid w:val="005A671E"/>
    <w:rsid w:val="005B7A59"/>
    <w:rsid w:val="005C1ACA"/>
    <w:rsid w:val="005C4F4E"/>
    <w:rsid w:val="005D5978"/>
    <w:rsid w:val="005D719F"/>
    <w:rsid w:val="005E3FF1"/>
    <w:rsid w:val="005F47EC"/>
    <w:rsid w:val="0060497B"/>
    <w:rsid w:val="00606D97"/>
    <w:rsid w:val="0061082B"/>
    <w:rsid w:val="006138EC"/>
    <w:rsid w:val="00614F16"/>
    <w:rsid w:val="0061532A"/>
    <w:rsid w:val="006239C3"/>
    <w:rsid w:val="00625487"/>
    <w:rsid w:val="006314AF"/>
    <w:rsid w:val="006379FB"/>
    <w:rsid w:val="006426AD"/>
    <w:rsid w:val="00647CEE"/>
    <w:rsid w:val="00655B36"/>
    <w:rsid w:val="006630A6"/>
    <w:rsid w:val="00666DB6"/>
    <w:rsid w:val="00680314"/>
    <w:rsid w:val="0068392B"/>
    <w:rsid w:val="0069557E"/>
    <w:rsid w:val="006B0056"/>
    <w:rsid w:val="006B3784"/>
    <w:rsid w:val="006B4729"/>
    <w:rsid w:val="006B4B61"/>
    <w:rsid w:val="006C1897"/>
    <w:rsid w:val="006C391C"/>
    <w:rsid w:val="007029FE"/>
    <w:rsid w:val="00711A70"/>
    <w:rsid w:val="00713363"/>
    <w:rsid w:val="00734E42"/>
    <w:rsid w:val="0074190F"/>
    <w:rsid w:val="00742CBE"/>
    <w:rsid w:val="007515E3"/>
    <w:rsid w:val="00755DEA"/>
    <w:rsid w:val="0076295D"/>
    <w:rsid w:val="00765FA6"/>
    <w:rsid w:val="007A119F"/>
    <w:rsid w:val="007A499A"/>
    <w:rsid w:val="007A720D"/>
    <w:rsid w:val="007B1EC6"/>
    <w:rsid w:val="007B4D05"/>
    <w:rsid w:val="007B6B0C"/>
    <w:rsid w:val="007C1875"/>
    <w:rsid w:val="007C1AD2"/>
    <w:rsid w:val="007C2069"/>
    <w:rsid w:val="007C6E97"/>
    <w:rsid w:val="007D0B5F"/>
    <w:rsid w:val="007D376F"/>
    <w:rsid w:val="007D3DDF"/>
    <w:rsid w:val="007D47DE"/>
    <w:rsid w:val="007D5E85"/>
    <w:rsid w:val="007E3F51"/>
    <w:rsid w:val="007E6ADF"/>
    <w:rsid w:val="007F5390"/>
    <w:rsid w:val="007F7B6C"/>
    <w:rsid w:val="00801551"/>
    <w:rsid w:val="00811082"/>
    <w:rsid w:val="00816048"/>
    <w:rsid w:val="00821897"/>
    <w:rsid w:val="00827970"/>
    <w:rsid w:val="008342E9"/>
    <w:rsid w:val="008466F8"/>
    <w:rsid w:val="00856CA8"/>
    <w:rsid w:val="008626E1"/>
    <w:rsid w:val="00863A42"/>
    <w:rsid w:val="008828E3"/>
    <w:rsid w:val="008911C6"/>
    <w:rsid w:val="0089570B"/>
    <w:rsid w:val="00896337"/>
    <w:rsid w:val="008964BF"/>
    <w:rsid w:val="008C295F"/>
    <w:rsid w:val="008C3191"/>
    <w:rsid w:val="008D4598"/>
    <w:rsid w:val="008E09BA"/>
    <w:rsid w:val="008E260F"/>
    <w:rsid w:val="0090097C"/>
    <w:rsid w:val="00907CFC"/>
    <w:rsid w:val="009110AF"/>
    <w:rsid w:val="00911217"/>
    <w:rsid w:val="00914335"/>
    <w:rsid w:val="0091444E"/>
    <w:rsid w:val="00915FC2"/>
    <w:rsid w:val="009203A5"/>
    <w:rsid w:val="009217F7"/>
    <w:rsid w:val="00922F79"/>
    <w:rsid w:val="0092346D"/>
    <w:rsid w:val="00924861"/>
    <w:rsid w:val="0092498E"/>
    <w:rsid w:val="00925B8E"/>
    <w:rsid w:val="009263B0"/>
    <w:rsid w:val="0093118E"/>
    <w:rsid w:val="00934449"/>
    <w:rsid w:val="009402D3"/>
    <w:rsid w:val="00941987"/>
    <w:rsid w:val="00941EAF"/>
    <w:rsid w:val="009508C3"/>
    <w:rsid w:val="009522B4"/>
    <w:rsid w:val="009530D9"/>
    <w:rsid w:val="009555E4"/>
    <w:rsid w:val="00971853"/>
    <w:rsid w:val="009768FE"/>
    <w:rsid w:val="0098590A"/>
    <w:rsid w:val="009D200E"/>
    <w:rsid w:val="009D7B72"/>
    <w:rsid w:val="009E101B"/>
    <w:rsid w:val="009E308B"/>
    <w:rsid w:val="009E3B20"/>
    <w:rsid w:val="00A01660"/>
    <w:rsid w:val="00A06317"/>
    <w:rsid w:val="00A10FE1"/>
    <w:rsid w:val="00A17B6B"/>
    <w:rsid w:val="00A24631"/>
    <w:rsid w:val="00A466E8"/>
    <w:rsid w:val="00A53CC0"/>
    <w:rsid w:val="00A65B24"/>
    <w:rsid w:val="00A82D8E"/>
    <w:rsid w:val="00A84807"/>
    <w:rsid w:val="00A87DD3"/>
    <w:rsid w:val="00A91720"/>
    <w:rsid w:val="00A93460"/>
    <w:rsid w:val="00AA0AFD"/>
    <w:rsid w:val="00AA1811"/>
    <w:rsid w:val="00AA1830"/>
    <w:rsid w:val="00AA7A56"/>
    <w:rsid w:val="00AB1422"/>
    <w:rsid w:val="00AB17E7"/>
    <w:rsid w:val="00AB3BB8"/>
    <w:rsid w:val="00AC3538"/>
    <w:rsid w:val="00AC6A62"/>
    <w:rsid w:val="00AC6A69"/>
    <w:rsid w:val="00AD2BC7"/>
    <w:rsid w:val="00AE1186"/>
    <w:rsid w:val="00AE26BC"/>
    <w:rsid w:val="00AE2A7E"/>
    <w:rsid w:val="00AE67F5"/>
    <w:rsid w:val="00AF40D7"/>
    <w:rsid w:val="00B02B8A"/>
    <w:rsid w:val="00B15B6B"/>
    <w:rsid w:val="00B17608"/>
    <w:rsid w:val="00B24B1E"/>
    <w:rsid w:val="00B25156"/>
    <w:rsid w:val="00B30F10"/>
    <w:rsid w:val="00B345B1"/>
    <w:rsid w:val="00B37740"/>
    <w:rsid w:val="00B5200C"/>
    <w:rsid w:val="00B57DA0"/>
    <w:rsid w:val="00B60DF4"/>
    <w:rsid w:val="00B759FF"/>
    <w:rsid w:val="00B96A22"/>
    <w:rsid w:val="00BA20BA"/>
    <w:rsid w:val="00BA7237"/>
    <w:rsid w:val="00BD1433"/>
    <w:rsid w:val="00BD2214"/>
    <w:rsid w:val="00BE2741"/>
    <w:rsid w:val="00C00578"/>
    <w:rsid w:val="00C0235E"/>
    <w:rsid w:val="00C027B1"/>
    <w:rsid w:val="00C03D20"/>
    <w:rsid w:val="00C04DBB"/>
    <w:rsid w:val="00C060F9"/>
    <w:rsid w:val="00C13247"/>
    <w:rsid w:val="00C21867"/>
    <w:rsid w:val="00C256E1"/>
    <w:rsid w:val="00C27D9E"/>
    <w:rsid w:val="00C34A55"/>
    <w:rsid w:val="00C43DE7"/>
    <w:rsid w:val="00C51D14"/>
    <w:rsid w:val="00C5738B"/>
    <w:rsid w:val="00C57C40"/>
    <w:rsid w:val="00C7504D"/>
    <w:rsid w:val="00C878E5"/>
    <w:rsid w:val="00C92089"/>
    <w:rsid w:val="00C928B2"/>
    <w:rsid w:val="00C944F3"/>
    <w:rsid w:val="00C946AD"/>
    <w:rsid w:val="00C97E3D"/>
    <w:rsid w:val="00CA29AD"/>
    <w:rsid w:val="00CA5833"/>
    <w:rsid w:val="00CB043D"/>
    <w:rsid w:val="00CB4E63"/>
    <w:rsid w:val="00CB5615"/>
    <w:rsid w:val="00CC01E3"/>
    <w:rsid w:val="00CC1D39"/>
    <w:rsid w:val="00CC5D67"/>
    <w:rsid w:val="00CD292B"/>
    <w:rsid w:val="00CD3011"/>
    <w:rsid w:val="00CE3747"/>
    <w:rsid w:val="00CF5592"/>
    <w:rsid w:val="00D01C58"/>
    <w:rsid w:val="00D13C44"/>
    <w:rsid w:val="00D153E5"/>
    <w:rsid w:val="00D17CC7"/>
    <w:rsid w:val="00D17ED0"/>
    <w:rsid w:val="00D225C6"/>
    <w:rsid w:val="00D2520A"/>
    <w:rsid w:val="00D30322"/>
    <w:rsid w:val="00D46E84"/>
    <w:rsid w:val="00D53DAB"/>
    <w:rsid w:val="00D5478C"/>
    <w:rsid w:val="00D64162"/>
    <w:rsid w:val="00D76DB0"/>
    <w:rsid w:val="00D81761"/>
    <w:rsid w:val="00D825FE"/>
    <w:rsid w:val="00D84ED9"/>
    <w:rsid w:val="00D90E77"/>
    <w:rsid w:val="00D91418"/>
    <w:rsid w:val="00DA323F"/>
    <w:rsid w:val="00DB00C1"/>
    <w:rsid w:val="00DB09FD"/>
    <w:rsid w:val="00DC3024"/>
    <w:rsid w:val="00DC706B"/>
    <w:rsid w:val="00DD236F"/>
    <w:rsid w:val="00DD3B6B"/>
    <w:rsid w:val="00DD475D"/>
    <w:rsid w:val="00DE4DD5"/>
    <w:rsid w:val="00DE5981"/>
    <w:rsid w:val="00DF30BB"/>
    <w:rsid w:val="00DF40FB"/>
    <w:rsid w:val="00DF64FD"/>
    <w:rsid w:val="00E1039D"/>
    <w:rsid w:val="00E21CD0"/>
    <w:rsid w:val="00E23E22"/>
    <w:rsid w:val="00E25B42"/>
    <w:rsid w:val="00E3543A"/>
    <w:rsid w:val="00E36744"/>
    <w:rsid w:val="00E3719D"/>
    <w:rsid w:val="00E42BBD"/>
    <w:rsid w:val="00E43F97"/>
    <w:rsid w:val="00E44A76"/>
    <w:rsid w:val="00E46F35"/>
    <w:rsid w:val="00E47B65"/>
    <w:rsid w:val="00E51418"/>
    <w:rsid w:val="00E520CB"/>
    <w:rsid w:val="00E66493"/>
    <w:rsid w:val="00E675DF"/>
    <w:rsid w:val="00E815B2"/>
    <w:rsid w:val="00E82391"/>
    <w:rsid w:val="00E842E7"/>
    <w:rsid w:val="00E8478F"/>
    <w:rsid w:val="00E8578B"/>
    <w:rsid w:val="00E86F37"/>
    <w:rsid w:val="00E90BA2"/>
    <w:rsid w:val="00EA12CC"/>
    <w:rsid w:val="00EA1C1A"/>
    <w:rsid w:val="00EA5F83"/>
    <w:rsid w:val="00EB1C21"/>
    <w:rsid w:val="00EB3D4B"/>
    <w:rsid w:val="00EE2908"/>
    <w:rsid w:val="00EE61FF"/>
    <w:rsid w:val="00EE6A08"/>
    <w:rsid w:val="00F06FD3"/>
    <w:rsid w:val="00F11B17"/>
    <w:rsid w:val="00F14E4F"/>
    <w:rsid w:val="00F17D3D"/>
    <w:rsid w:val="00F2104E"/>
    <w:rsid w:val="00F30C32"/>
    <w:rsid w:val="00F36A50"/>
    <w:rsid w:val="00F36ED2"/>
    <w:rsid w:val="00F53CEB"/>
    <w:rsid w:val="00F703A9"/>
    <w:rsid w:val="00F75BB6"/>
    <w:rsid w:val="00F82726"/>
    <w:rsid w:val="00F90397"/>
    <w:rsid w:val="00FA078B"/>
    <w:rsid w:val="00FA234F"/>
    <w:rsid w:val="00FA7DA6"/>
    <w:rsid w:val="00FB0DE1"/>
    <w:rsid w:val="00FB0E1B"/>
    <w:rsid w:val="00FB2D8E"/>
    <w:rsid w:val="00FB3315"/>
    <w:rsid w:val="00FB4E2D"/>
    <w:rsid w:val="00FC0E4B"/>
    <w:rsid w:val="00FC3369"/>
    <w:rsid w:val="00FD1B3B"/>
    <w:rsid w:val="00FD1D19"/>
    <w:rsid w:val="00FD50FA"/>
    <w:rsid w:val="00FE0806"/>
    <w:rsid w:val="01F2E9D1"/>
    <w:rsid w:val="027F8E23"/>
    <w:rsid w:val="028E376D"/>
    <w:rsid w:val="02DD4B08"/>
    <w:rsid w:val="02DEF8F3"/>
    <w:rsid w:val="03084125"/>
    <w:rsid w:val="0389D717"/>
    <w:rsid w:val="04064AAB"/>
    <w:rsid w:val="05BA2BD5"/>
    <w:rsid w:val="06DF3947"/>
    <w:rsid w:val="0743083B"/>
    <w:rsid w:val="07A54071"/>
    <w:rsid w:val="07D733BA"/>
    <w:rsid w:val="080D75BC"/>
    <w:rsid w:val="083F1FBB"/>
    <w:rsid w:val="0894F07B"/>
    <w:rsid w:val="08DC93B3"/>
    <w:rsid w:val="08F7C352"/>
    <w:rsid w:val="0AC4E760"/>
    <w:rsid w:val="0BA29B76"/>
    <w:rsid w:val="0C078CE4"/>
    <w:rsid w:val="0D053C1B"/>
    <w:rsid w:val="0D4DE8CD"/>
    <w:rsid w:val="0D5D51E9"/>
    <w:rsid w:val="0DDE9AFB"/>
    <w:rsid w:val="0E3E9EDB"/>
    <w:rsid w:val="0EA8B08D"/>
    <w:rsid w:val="0F833A97"/>
    <w:rsid w:val="0FDA5F14"/>
    <w:rsid w:val="0FEB6828"/>
    <w:rsid w:val="101CBA50"/>
    <w:rsid w:val="117063FE"/>
    <w:rsid w:val="1229F7CB"/>
    <w:rsid w:val="12CDDC22"/>
    <w:rsid w:val="13769D02"/>
    <w:rsid w:val="148908B0"/>
    <w:rsid w:val="14C6CF4E"/>
    <w:rsid w:val="154EAE57"/>
    <w:rsid w:val="15FC778A"/>
    <w:rsid w:val="16A5E88C"/>
    <w:rsid w:val="17803662"/>
    <w:rsid w:val="18DBA032"/>
    <w:rsid w:val="19F36BFD"/>
    <w:rsid w:val="1A1D682A"/>
    <w:rsid w:val="1B2B5E9B"/>
    <w:rsid w:val="1DD41D75"/>
    <w:rsid w:val="1E142939"/>
    <w:rsid w:val="1E3EDCBC"/>
    <w:rsid w:val="1E611117"/>
    <w:rsid w:val="1E79E8FF"/>
    <w:rsid w:val="1EB6D642"/>
    <w:rsid w:val="2260C30B"/>
    <w:rsid w:val="22E35203"/>
    <w:rsid w:val="23105F0E"/>
    <w:rsid w:val="23529553"/>
    <w:rsid w:val="23969437"/>
    <w:rsid w:val="23EF4510"/>
    <w:rsid w:val="242E5B28"/>
    <w:rsid w:val="244C7EFB"/>
    <w:rsid w:val="2488B49A"/>
    <w:rsid w:val="24FBC587"/>
    <w:rsid w:val="26375DCD"/>
    <w:rsid w:val="26B5C52E"/>
    <w:rsid w:val="2809141E"/>
    <w:rsid w:val="284B41A7"/>
    <w:rsid w:val="294702D7"/>
    <w:rsid w:val="29C7A707"/>
    <w:rsid w:val="2BE90A70"/>
    <w:rsid w:val="2BF79635"/>
    <w:rsid w:val="2D4D356D"/>
    <w:rsid w:val="2E18617A"/>
    <w:rsid w:val="2EB80B1E"/>
    <w:rsid w:val="2EEAF478"/>
    <w:rsid w:val="2FA7FD0E"/>
    <w:rsid w:val="2FAFFEAD"/>
    <w:rsid w:val="2FE1D8F0"/>
    <w:rsid w:val="30FD5656"/>
    <w:rsid w:val="314F0A41"/>
    <w:rsid w:val="3184A38E"/>
    <w:rsid w:val="32D9BA0F"/>
    <w:rsid w:val="3359252A"/>
    <w:rsid w:val="33C9B259"/>
    <w:rsid w:val="34BEF5E1"/>
    <w:rsid w:val="35AE476B"/>
    <w:rsid w:val="364C9564"/>
    <w:rsid w:val="377DF38A"/>
    <w:rsid w:val="3780F8A7"/>
    <w:rsid w:val="37938649"/>
    <w:rsid w:val="37C19737"/>
    <w:rsid w:val="382D5960"/>
    <w:rsid w:val="389442CF"/>
    <w:rsid w:val="391C43D7"/>
    <w:rsid w:val="3937397C"/>
    <w:rsid w:val="39E010FD"/>
    <w:rsid w:val="39F98286"/>
    <w:rsid w:val="3A20577C"/>
    <w:rsid w:val="3B9CB562"/>
    <w:rsid w:val="3BA22CED"/>
    <w:rsid w:val="3BF762C5"/>
    <w:rsid w:val="3C861C2C"/>
    <w:rsid w:val="3CA45BCA"/>
    <w:rsid w:val="3CB07DE8"/>
    <w:rsid w:val="3CFE7709"/>
    <w:rsid w:val="3CFEE843"/>
    <w:rsid w:val="3D607B37"/>
    <w:rsid w:val="3DB93CB3"/>
    <w:rsid w:val="3E417959"/>
    <w:rsid w:val="3EEF583C"/>
    <w:rsid w:val="3F3B9A34"/>
    <w:rsid w:val="3FB70035"/>
    <w:rsid w:val="3FCDFCC0"/>
    <w:rsid w:val="3FF4D549"/>
    <w:rsid w:val="404E7208"/>
    <w:rsid w:val="40A7329D"/>
    <w:rsid w:val="41A3EF42"/>
    <w:rsid w:val="43E21AAF"/>
    <w:rsid w:val="43EBDAAF"/>
    <w:rsid w:val="44642767"/>
    <w:rsid w:val="44C249CA"/>
    <w:rsid w:val="44D8F245"/>
    <w:rsid w:val="462A9626"/>
    <w:rsid w:val="463AEEB9"/>
    <w:rsid w:val="4642A1B8"/>
    <w:rsid w:val="475397B4"/>
    <w:rsid w:val="47649D8D"/>
    <w:rsid w:val="4791E012"/>
    <w:rsid w:val="47A1BECA"/>
    <w:rsid w:val="4855866E"/>
    <w:rsid w:val="4875F996"/>
    <w:rsid w:val="48B42988"/>
    <w:rsid w:val="49D0C065"/>
    <w:rsid w:val="4A533AE6"/>
    <w:rsid w:val="4B8BBAEA"/>
    <w:rsid w:val="4BAA2522"/>
    <w:rsid w:val="4CC102E8"/>
    <w:rsid w:val="4D3DF015"/>
    <w:rsid w:val="501EAF5E"/>
    <w:rsid w:val="506DE8AE"/>
    <w:rsid w:val="50E1C038"/>
    <w:rsid w:val="50FB79E8"/>
    <w:rsid w:val="51475493"/>
    <w:rsid w:val="514BD0EA"/>
    <w:rsid w:val="5204F3F1"/>
    <w:rsid w:val="5336443C"/>
    <w:rsid w:val="533B9494"/>
    <w:rsid w:val="5379149C"/>
    <w:rsid w:val="5394B677"/>
    <w:rsid w:val="53C56779"/>
    <w:rsid w:val="53DF9CF5"/>
    <w:rsid w:val="53FBB1E2"/>
    <w:rsid w:val="54B5674C"/>
    <w:rsid w:val="557A2247"/>
    <w:rsid w:val="55FED484"/>
    <w:rsid w:val="574D21C8"/>
    <w:rsid w:val="57F7AABD"/>
    <w:rsid w:val="5821DC75"/>
    <w:rsid w:val="5843FFCE"/>
    <w:rsid w:val="587484A2"/>
    <w:rsid w:val="59B095B6"/>
    <w:rsid w:val="59F25115"/>
    <w:rsid w:val="59FC942E"/>
    <w:rsid w:val="5AB94F6A"/>
    <w:rsid w:val="5B3FAB9D"/>
    <w:rsid w:val="5BA32479"/>
    <w:rsid w:val="5BEA56B9"/>
    <w:rsid w:val="5BFE7561"/>
    <w:rsid w:val="5C379B27"/>
    <w:rsid w:val="5C465A0C"/>
    <w:rsid w:val="5CFF5F3E"/>
    <w:rsid w:val="5E8D39E2"/>
    <w:rsid w:val="5F1FE2D7"/>
    <w:rsid w:val="5FB46C18"/>
    <w:rsid w:val="5FED791A"/>
    <w:rsid w:val="6039C76D"/>
    <w:rsid w:val="60A133C4"/>
    <w:rsid w:val="60E35021"/>
    <w:rsid w:val="6333BF78"/>
    <w:rsid w:val="63F08AB6"/>
    <w:rsid w:val="6401DB6A"/>
    <w:rsid w:val="644D47FC"/>
    <w:rsid w:val="64AB939B"/>
    <w:rsid w:val="64EB35CA"/>
    <w:rsid w:val="65A7B341"/>
    <w:rsid w:val="65C0581D"/>
    <w:rsid w:val="65C57CEC"/>
    <w:rsid w:val="66C8A4BE"/>
    <w:rsid w:val="670A8AB5"/>
    <w:rsid w:val="67499D30"/>
    <w:rsid w:val="68ABCB2F"/>
    <w:rsid w:val="6959A431"/>
    <w:rsid w:val="698A7FD0"/>
    <w:rsid w:val="69A65CA1"/>
    <w:rsid w:val="6A1F4EAE"/>
    <w:rsid w:val="6AF5FF2D"/>
    <w:rsid w:val="6BF7FE44"/>
    <w:rsid w:val="6C202B63"/>
    <w:rsid w:val="6C24E4EE"/>
    <w:rsid w:val="6E284929"/>
    <w:rsid w:val="6E574973"/>
    <w:rsid w:val="6EEC1105"/>
    <w:rsid w:val="6F0AFA86"/>
    <w:rsid w:val="6F5B4F69"/>
    <w:rsid w:val="6FA55B2D"/>
    <w:rsid w:val="7019B9A6"/>
    <w:rsid w:val="7195CC59"/>
    <w:rsid w:val="7217A808"/>
    <w:rsid w:val="724EF1F5"/>
    <w:rsid w:val="7280DE82"/>
    <w:rsid w:val="72BD6E06"/>
    <w:rsid w:val="72DD669D"/>
    <w:rsid w:val="740E3FFC"/>
    <w:rsid w:val="74336C75"/>
    <w:rsid w:val="759E7872"/>
    <w:rsid w:val="7726BACC"/>
    <w:rsid w:val="779C05F0"/>
    <w:rsid w:val="786B6D3A"/>
    <w:rsid w:val="789FD1F9"/>
    <w:rsid w:val="78AE50BE"/>
    <w:rsid w:val="78DED571"/>
    <w:rsid w:val="79399C75"/>
    <w:rsid w:val="7A4B5B33"/>
    <w:rsid w:val="7AA9889E"/>
    <w:rsid w:val="7B5DDAEB"/>
    <w:rsid w:val="7B862D00"/>
    <w:rsid w:val="7C278A24"/>
    <w:rsid w:val="7C8A2C9A"/>
    <w:rsid w:val="7C8E6622"/>
    <w:rsid w:val="7CC12124"/>
    <w:rsid w:val="7D2EF875"/>
    <w:rsid w:val="7DFD360E"/>
    <w:rsid w:val="7E8C2D14"/>
    <w:rsid w:val="7F54C99E"/>
    <w:rsid w:val="7FB96C4F"/>
    <w:rsid w:val="7FE9700E"/>
    <w:rsid w:val="7FFA9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1152E"/>
  <w15:chartTrackingRefBased/>
  <w15:docId w15:val="{DE4F1D1F-9AB0-4310-9731-B85E159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2B"/>
  </w:style>
  <w:style w:type="paragraph" w:styleId="Heading1">
    <w:name w:val="heading 1"/>
    <w:basedOn w:val="Normal"/>
    <w:next w:val="Normal"/>
    <w:link w:val="Heading1Char"/>
    <w:autoRedefine/>
    <w:uiPriority w:val="9"/>
    <w:qFormat/>
    <w:rsid w:val="0074190F"/>
    <w:pPr>
      <w:keepNext/>
      <w:keepLines/>
      <w:shd w:val="clear" w:color="auto" w:fill="49C5B1"/>
      <w:spacing w:after="0" w:line="240" w:lineRule="auto"/>
      <w:outlineLvl w:val="0"/>
    </w:pPr>
    <w:rPr>
      <w:rFonts w:ascii="Tahoma" w:eastAsiaTheme="majorEastAsia" w:hAnsi="Tahoma" w:cstheme="majorBidi"/>
      <w:b/>
      <w:color w:val="FFFFFF" w:themeColor="background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57E"/>
  </w:style>
  <w:style w:type="paragraph" w:styleId="Footer">
    <w:name w:val="footer"/>
    <w:basedOn w:val="Normal"/>
    <w:link w:val="FooterChar"/>
    <w:uiPriority w:val="99"/>
    <w:unhideWhenUsed/>
    <w:rsid w:val="00695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57E"/>
  </w:style>
  <w:style w:type="character" w:customStyle="1" w:styleId="Heading1Char">
    <w:name w:val="Heading 1 Char"/>
    <w:basedOn w:val="DefaultParagraphFont"/>
    <w:link w:val="Heading1"/>
    <w:uiPriority w:val="9"/>
    <w:rsid w:val="0074190F"/>
    <w:rPr>
      <w:rFonts w:ascii="Tahoma" w:eastAsiaTheme="majorEastAsia" w:hAnsi="Tahoma" w:cstheme="majorBidi"/>
      <w:b/>
      <w:color w:val="FFFFFF" w:themeColor="background1"/>
      <w:sz w:val="24"/>
      <w:szCs w:val="32"/>
      <w:shd w:val="clear" w:color="auto" w:fill="49C5B1"/>
    </w:rPr>
  </w:style>
  <w:style w:type="paragraph" w:styleId="ListParagraph">
    <w:name w:val="List Paragraph"/>
    <w:basedOn w:val="Normal"/>
    <w:uiPriority w:val="34"/>
    <w:qFormat/>
    <w:rsid w:val="00A87DD3"/>
    <w:pPr>
      <w:ind w:left="720"/>
      <w:contextualSpacing/>
    </w:pPr>
  </w:style>
  <w:style w:type="paragraph" w:styleId="BodyTextIndent3">
    <w:name w:val="Body Text Indent 3"/>
    <w:basedOn w:val="Normal"/>
    <w:link w:val="BodyTextIndent3Char"/>
    <w:rsid w:val="00E8578B"/>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8578B"/>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9E3B20"/>
    <w:rPr>
      <w:sz w:val="16"/>
      <w:szCs w:val="16"/>
    </w:rPr>
  </w:style>
  <w:style w:type="paragraph" w:styleId="CommentText">
    <w:name w:val="annotation text"/>
    <w:basedOn w:val="Normal"/>
    <w:link w:val="CommentTextChar"/>
    <w:uiPriority w:val="99"/>
    <w:unhideWhenUsed/>
    <w:rsid w:val="009E3B20"/>
    <w:pPr>
      <w:spacing w:line="240" w:lineRule="auto"/>
    </w:pPr>
    <w:rPr>
      <w:sz w:val="20"/>
      <w:szCs w:val="20"/>
    </w:rPr>
  </w:style>
  <w:style w:type="character" w:customStyle="1" w:styleId="CommentTextChar">
    <w:name w:val="Comment Text Char"/>
    <w:basedOn w:val="DefaultParagraphFont"/>
    <w:link w:val="CommentText"/>
    <w:uiPriority w:val="99"/>
    <w:rsid w:val="009E3B20"/>
    <w:rPr>
      <w:sz w:val="20"/>
      <w:szCs w:val="20"/>
    </w:rPr>
  </w:style>
  <w:style w:type="paragraph" w:styleId="CommentSubject">
    <w:name w:val="annotation subject"/>
    <w:basedOn w:val="CommentText"/>
    <w:next w:val="CommentText"/>
    <w:link w:val="CommentSubjectChar"/>
    <w:uiPriority w:val="99"/>
    <w:semiHidden/>
    <w:unhideWhenUsed/>
    <w:rsid w:val="009E3B20"/>
    <w:rPr>
      <w:b/>
      <w:bCs/>
    </w:rPr>
  </w:style>
  <w:style w:type="character" w:customStyle="1" w:styleId="CommentSubjectChar">
    <w:name w:val="Comment Subject Char"/>
    <w:basedOn w:val="CommentTextChar"/>
    <w:link w:val="CommentSubject"/>
    <w:uiPriority w:val="99"/>
    <w:semiHidden/>
    <w:rsid w:val="009E3B20"/>
    <w:rPr>
      <w:b/>
      <w:bCs/>
      <w:sz w:val="20"/>
      <w:szCs w:val="20"/>
    </w:rPr>
  </w:style>
  <w:style w:type="paragraph" w:customStyle="1" w:styleId="paragraph">
    <w:name w:val="paragraph"/>
    <w:basedOn w:val="Normal"/>
    <w:rsid w:val="009E3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3B20"/>
  </w:style>
  <w:style w:type="character" w:customStyle="1" w:styleId="eop">
    <w:name w:val="eop"/>
    <w:basedOn w:val="DefaultParagraphFont"/>
    <w:rsid w:val="009E3B20"/>
  </w:style>
  <w:style w:type="paragraph" w:styleId="Bibliography">
    <w:name w:val="Bibliography"/>
    <w:basedOn w:val="Normal"/>
    <w:next w:val="Normal"/>
    <w:uiPriority w:val="37"/>
    <w:unhideWhenUsed/>
    <w:rsid w:val="00113786"/>
  </w:style>
  <w:style w:type="paragraph" w:styleId="NormalWeb">
    <w:name w:val="Normal (Web)"/>
    <w:basedOn w:val="Normal"/>
    <w:uiPriority w:val="99"/>
    <w:unhideWhenUsed/>
    <w:rsid w:val="003541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322C6"/>
    <w:rPr>
      <w:color w:val="0563C1" w:themeColor="hyperlink"/>
      <w:u w:val="single"/>
    </w:rPr>
  </w:style>
  <w:style w:type="character" w:styleId="FootnoteReference">
    <w:name w:val="footnote reference"/>
    <w:basedOn w:val="DefaultParagraphFont"/>
    <w:uiPriority w:val="99"/>
    <w:semiHidden/>
    <w:unhideWhenUsed/>
    <w:rsid w:val="00FD1D19"/>
    <w:rPr>
      <w:vertAlign w:val="superscript"/>
    </w:rPr>
  </w:style>
  <w:style w:type="character" w:customStyle="1" w:styleId="FootnoteTextChar">
    <w:name w:val="Footnote Text Char"/>
    <w:basedOn w:val="DefaultParagraphFont"/>
    <w:link w:val="FootnoteText"/>
    <w:uiPriority w:val="99"/>
    <w:semiHidden/>
    <w:rsid w:val="00FD1D19"/>
    <w:rPr>
      <w:sz w:val="20"/>
      <w:szCs w:val="20"/>
    </w:rPr>
  </w:style>
  <w:style w:type="paragraph" w:styleId="FootnoteText">
    <w:name w:val="footnote text"/>
    <w:basedOn w:val="Normal"/>
    <w:link w:val="FootnoteTextChar"/>
    <w:uiPriority w:val="99"/>
    <w:semiHidden/>
    <w:unhideWhenUsed/>
    <w:rsid w:val="00FD1D19"/>
    <w:pPr>
      <w:spacing w:after="0" w:line="240" w:lineRule="auto"/>
    </w:pPr>
    <w:rPr>
      <w:sz w:val="20"/>
      <w:szCs w:val="20"/>
    </w:rPr>
  </w:style>
  <w:style w:type="character" w:customStyle="1" w:styleId="FootnoteTextChar1">
    <w:name w:val="Footnote Text Char1"/>
    <w:basedOn w:val="DefaultParagraphFont"/>
    <w:uiPriority w:val="99"/>
    <w:semiHidden/>
    <w:rsid w:val="00FD1D19"/>
    <w:rPr>
      <w:sz w:val="20"/>
      <w:szCs w:val="20"/>
    </w:rPr>
  </w:style>
  <w:style w:type="table" w:styleId="TableGrid">
    <w:name w:val="Table Grid"/>
    <w:basedOn w:val="TableNormal"/>
    <w:uiPriority w:val="39"/>
    <w:rsid w:val="0091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0056"/>
    <w:rPr>
      <w:color w:val="605E5C"/>
      <w:shd w:val="clear" w:color="auto" w:fill="E1DFDD"/>
    </w:rPr>
  </w:style>
  <w:style w:type="paragraph" w:styleId="EndnoteText">
    <w:name w:val="endnote text"/>
    <w:basedOn w:val="Normal"/>
    <w:link w:val="EndnoteTextChar"/>
    <w:uiPriority w:val="99"/>
    <w:semiHidden/>
    <w:unhideWhenUsed/>
    <w:rsid w:val="00514B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4B49"/>
    <w:rPr>
      <w:sz w:val="20"/>
      <w:szCs w:val="20"/>
    </w:rPr>
  </w:style>
  <w:style w:type="character" w:styleId="EndnoteReference">
    <w:name w:val="endnote reference"/>
    <w:basedOn w:val="DefaultParagraphFont"/>
    <w:uiPriority w:val="99"/>
    <w:semiHidden/>
    <w:unhideWhenUsed/>
    <w:rsid w:val="00514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6046">
      <w:bodyDiv w:val="1"/>
      <w:marLeft w:val="0"/>
      <w:marRight w:val="0"/>
      <w:marTop w:val="0"/>
      <w:marBottom w:val="0"/>
      <w:divBdr>
        <w:top w:val="none" w:sz="0" w:space="0" w:color="auto"/>
        <w:left w:val="none" w:sz="0" w:space="0" w:color="auto"/>
        <w:bottom w:val="none" w:sz="0" w:space="0" w:color="auto"/>
        <w:right w:val="none" w:sz="0" w:space="0" w:color="auto"/>
      </w:divBdr>
    </w:div>
    <w:div w:id="200896105">
      <w:bodyDiv w:val="1"/>
      <w:marLeft w:val="0"/>
      <w:marRight w:val="0"/>
      <w:marTop w:val="0"/>
      <w:marBottom w:val="0"/>
      <w:divBdr>
        <w:top w:val="none" w:sz="0" w:space="0" w:color="auto"/>
        <w:left w:val="none" w:sz="0" w:space="0" w:color="auto"/>
        <w:bottom w:val="none" w:sz="0" w:space="0" w:color="auto"/>
        <w:right w:val="none" w:sz="0" w:space="0" w:color="auto"/>
      </w:divBdr>
    </w:div>
    <w:div w:id="251092675">
      <w:bodyDiv w:val="1"/>
      <w:marLeft w:val="0"/>
      <w:marRight w:val="0"/>
      <w:marTop w:val="0"/>
      <w:marBottom w:val="0"/>
      <w:divBdr>
        <w:top w:val="none" w:sz="0" w:space="0" w:color="auto"/>
        <w:left w:val="none" w:sz="0" w:space="0" w:color="auto"/>
        <w:bottom w:val="none" w:sz="0" w:space="0" w:color="auto"/>
        <w:right w:val="none" w:sz="0" w:space="0" w:color="auto"/>
      </w:divBdr>
      <w:divsChild>
        <w:div w:id="705645034">
          <w:marLeft w:val="0"/>
          <w:marRight w:val="0"/>
          <w:marTop w:val="0"/>
          <w:marBottom w:val="0"/>
          <w:divBdr>
            <w:top w:val="none" w:sz="0" w:space="0" w:color="auto"/>
            <w:left w:val="none" w:sz="0" w:space="0" w:color="auto"/>
            <w:bottom w:val="none" w:sz="0" w:space="0" w:color="auto"/>
            <w:right w:val="none" w:sz="0" w:space="0" w:color="auto"/>
          </w:divBdr>
        </w:div>
        <w:div w:id="1005523603">
          <w:marLeft w:val="0"/>
          <w:marRight w:val="0"/>
          <w:marTop w:val="0"/>
          <w:marBottom w:val="0"/>
          <w:divBdr>
            <w:top w:val="none" w:sz="0" w:space="0" w:color="auto"/>
            <w:left w:val="none" w:sz="0" w:space="0" w:color="auto"/>
            <w:bottom w:val="none" w:sz="0" w:space="0" w:color="auto"/>
            <w:right w:val="none" w:sz="0" w:space="0" w:color="auto"/>
          </w:divBdr>
        </w:div>
        <w:div w:id="302389267">
          <w:marLeft w:val="0"/>
          <w:marRight w:val="0"/>
          <w:marTop w:val="0"/>
          <w:marBottom w:val="0"/>
          <w:divBdr>
            <w:top w:val="none" w:sz="0" w:space="0" w:color="auto"/>
            <w:left w:val="none" w:sz="0" w:space="0" w:color="auto"/>
            <w:bottom w:val="none" w:sz="0" w:space="0" w:color="auto"/>
            <w:right w:val="none" w:sz="0" w:space="0" w:color="auto"/>
          </w:divBdr>
        </w:div>
      </w:divsChild>
    </w:div>
    <w:div w:id="272174970">
      <w:bodyDiv w:val="1"/>
      <w:marLeft w:val="0"/>
      <w:marRight w:val="0"/>
      <w:marTop w:val="0"/>
      <w:marBottom w:val="0"/>
      <w:divBdr>
        <w:top w:val="none" w:sz="0" w:space="0" w:color="auto"/>
        <w:left w:val="none" w:sz="0" w:space="0" w:color="auto"/>
        <w:bottom w:val="none" w:sz="0" w:space="0" w:color="auto"/>
        <w:right w:val="none" w:sz="0" w:space="0" w:color="auto"/>
      </w:divBdr>
    </w:div>
    <w:div w:id="380636137">
      <w:bodyDiv w:val="1"/>
      <w:marLeft w:val="0"/>
      <w:marRight w:val="0"/>
      <w:marTop w:val="0"/>
      <w:marBottom w:val="0"/>
      <w:divBdr>
        <w:top w:val="none" w:sz="0" w:space="0" w:color="auto"/>
        <w:left w:val="none" w:sz="0" w:space="0" w:color="auto"/>
        <w:bottom w:val="none" w:sz="0" w:space="0" w:color="auto"/>
        <w:right w:val="none" w:sz="0" w:space="0" w:color="auto"/>
      </w:divBdr>
    </w:div>
    <w:div w:id="772360419">
      <w:bodyDiv w:val="1"/>
      <w:marLeft w:val="0"/>
      <w:marRight w:val="0"/>
      <w:marTop w:val="0"/>
      <w:marBottom w:val="0"/>
      <w:divBdr>
        <w:top w:val="none" w:sz="0" w:space="0" w:color="auto"/>
        <w:left w:val="none" w:sz="0" w:space="0" w:color="auto"/>
        <w:bottom w:val="none" w:sz="0" w:space="0" w:color="auto"/>
        <w:right w:val="none" w:sz="0" w:space="0" w:color="auto"/>
      </w:divBdr>
    </w:div>
    <w:div w:id="847718186">
      <w:bodyDiv w:val="1"/>
      <w:marLeft w:val="0"/>
      <w:marRight w:val="0"/>
      <w:marTop w:val="0"/>
      <w:marBottom w:val="0"/>
      <w:divBdr>
        <w:top w:val="none" w:sz="0" w:space="0" w:color="auto"/>
        <w:left w:val="none" w:sz="0" w:space="0" w:color="auto"/>
        <w:bottom w:val="none" w:sz="0" w:space="0" w:color="auto"/>
        <w:right w:val="none" w:sz="0" w:space="0" w:color="auto"/>
      </w:divBdr>
      <w:divsChild>
        <w:div w:id="485778981">
          <w:marLeft w:val="0"/>
          <w:marRight w:val="0"/>
          <w:marTop w:val="0"/>
          <w:marBottom w:val="0"/>
          <w:divBdr>
            <w:top w:val="none" w:sz="0" w:space="0" w:color="auto"/>
            <w:left w:val="none" w:sz="0" w:space="0" w:color="auto"/>
            <w:bottom w:val="none" w:sz="0" w:space="0" w:color="auto"/>
            <w:right w:val="none" w:sz="0" w:space="0" w:color="auto"/>
          </w:divBdr>
          <w:divsChild>
            <w:div w:id="1961261232">
              <w:marLeft w:val="0"/>
              <w:marRight w:val="0"/>
              <w:marTop w:val="0"/>
              <w:marBottom w:val="0"/>
              <w:divBdr>
                <w:top w:val="none" w:sz="0" w:space="0" w:color="auto"/>
                <w:left w:val="none" w:sz="0" w:space="0" w:color="auto"/>
                <w:bottom w:val="none" w:sz="0" w:space="0" w:color="auto"/>
                <w:right w:val="none" w:sz="0" w:space="0" w:color="auto"/>
              </w:divBdr>
              <w:divsChild>
                <w:div w:id="801850429">
                  <w:marLeft w:val="0"/>
                  <w:marRight w:val="0"/>
                  <w:marTop w:val="0"/>
                  <w:marBottom w:val="0"/>
                  <w:divBdr>
                    <w:top w:val="none" w:sz="0" w:space="0" w:color="auto"/>
                    <w:left w:val="none" w:sz="0" w:space="0" w:color="auto"/>
                    <w:bottom w:val="none" w:sz="0" w:space="0" w:color="auto"/>
                    <w:right w:val="none" w:sz="0" w:space="0" w:color="auto"/>
                  </w:divBdr>
                  <w:divsChild>
                    <w:div w:id="2092460414">
                      <w:marLeft w:val="0"/>
                      <w:marRight w:val="0"/>
                      <w:marTop w:val="0"/>
                      <w:marBottom w:val="0"/>
                      <w:divBdr>
                        <w:top w:val="none" w:sz="0" w:space="0" w:color="auto"/>
                        <w:left w:val="none" w:sz="0" w:space="0" w:color="auto"/>
                        <w:bottom w:val="none" w:sz="0" w:space="0" w:color="auto"/>
                        <w:right w:val="none" w:sz="0" w:space="0" w:color="auto"/>
                      </w:divBdr>
                      <w:divsChild>
                        <w:div w:id="1968776491">
                          <w:marLeft w:val="0"/>
                          <w:marRight w:val="0"/>
                          <w:marTop w:val="0"/>
                          <w:marBottom w:val="0"/>
                          <w:divBdr>
                            <w:top w:val="none" w:sz="0" w:space="0" w:color="auto"/>
                            <w:left w:val="none" w:sz="0" w:space="0" w:color="auto"/>
                            <w:bottom w:val="none" w:sz="0" w:space="0" w:color="auto"/>
                            <w:right w:val="none" w:sz="0" w:space="0" w:color="auto"/>
                          </w:divBdr>
                          <w:divsChild>
                            <w:div w:id="1688943096">
                              <w:marLeft w:val="0"/>
                              <w:marRight w:val="0"/>
                              <w:marTop w:val="0"/>
                              <w:marBottom w:val="0"/>
                              <w:divBdr>
                                <w:top w:val="none" w:sz="0" w:space="0" w:color="auto"/>
                                <w:left w:val="none" w:sz="0" w:space="0" w:color="auto"/>
                                <w:bottom w:val="none" w:sz="0" w:space="0" w:color="auto"/>
                                <w:right w:val="none" w:sz="0" w:space="0" w:color="auto"/>
                              </w:divBdr>
                              <w:divsChild>
                                <w:div w:id="470635912">
                                  <w:marLeft w:val="0"/>
                                  <w:marRight w:val="0"/>
                                  <w:marTop w:val="0"/>
                                  <w:marBottom w:val="0"/>
                                  <w:divBdr>
                                    <w:top w:val="none" w:sz="0" w:space="0" w:color="auto"/>
                                    <w:left w:val="none" w:sz="0" w:space="0" w:color="auto"/>
                                    <w:bottom w:val="none" w:sz="0" w:space="0" w:color="auto"/>
                                    <w:right w:val="none" w:sz="0" w:space="0" w:color="auto"/>
                                  </w:divBdr>
                                  <w:divsChild>
                                    <w:div w:id="1474060792">
                                      <w:marLeft w:val="0"/>
                                      <w:marRight w:val="0"/>
                                      <w:marTop w:val="0"/>
                                      <w:marBottom w:val="0"/>
                                      <w:divBdr>
                                        <w:top w:val="none" w:sz="0" w:space="0" w:color="auto"/>
                                        <w:left w:val="none" w:sz="0" w:space="0" w:color="auto"/>
                                        <w:bottom w:val="none" w:sz="0" w:space="0" w:color="auto"/>
                                        <w:right w:val="none" w:sz="0" w:space="0" w:color="auto"/>
                                      </w:divBdr>
                                      <w:divsChild>
                                        <w:div w:id="14800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77807">
      <w:bodyDiv w:val="1"/>
      <w:marLeft w:val="0"/>
      <w:marRight w:val="0"/>
      <w:marTop w:val="0"/>
      <w:marBottom w:val="0"/>
      <w:divBdr>
        <w:top w:val="none" w:sz="0" w:space="0" w:color="auto"/>
        <w:left w:val="none" w:sz="0" w:space="0" w:color="auto"/>
        <w:bottom w:val="none" w:sz="0" w:space="0" w:color="auto"/>
        <w:right w:val="none" w:sz="0" w:space="0" w:color="auto"/>
      </w:divBdr>
    </w:div>
    <w:div w:id="1051802598">
      <w:bodyDiv w:val="1"/>
      <w:marLeft w:val="0"/>
      <w:marRight w:val="0"/>
      <w:marTop w:val="0"/>
      <w:marBottom w:val="0"/>
      <w:divBdr>
        <w:top w:val="none" w:sz="0" w:space="0" w:color="auto"/>
        <w:left w:val="none" w:sz="0" w:space="0" w:color="auto"/>
        <w:bottom w:val="none" w:sz="0" w:space="0" w:color="auto"/>
        <w:right w:val="none" w:sz="0" w:space="0" w:color="auto"/>
      </w:divBdr>
      <w:divsChild>
        <w:div w:id="691996624">
          <w:marLeft w:val="0"/>
          <w:marRight w:val="0"/>
          <w:marTop w:val="0"/>
          <w:marBottom w:val="0"/>
          <w:divBdr>
            <w:top w:val="none" w:sz="0" w:space="0" w:color="auto"/>
            <w:left w:val="none" w:sz="0" w:space="0" w:color="auto"/>
            <w:bottom w:val="none" w:sz="0" w:space="0" w:color="auto"/>
            <w:right w:val="none" w:sz="0" w:space="0" w:color="auto"/>
          </w:divBdr>
          <w:divsChild>
            <w:div w:id="360981844">
              <w:marLeft w:val="0"/>
              <w:marRight w:val="0"/>
              <w:marTop w:val="0"/>
              <w:marBottom w:val="0"/>
              <w:divBdr>
                <w:top w:val="none" w:sz="0" w:space="0" w:color="auto"/>
                <w:left w:val="none" w:sz="0" w:space="0" w:color="auto"/>
                <w:bottom w:val="none" w:sz="0" w:space="0" w:color="auto"/>
                <w:right w:val="none" w:sz="0" w:space="0" w:color="auto"/>
              </w:divBdr>
              <w:divsChild>
                <w:div w:id="130710891">
                  <w:marLeft w:val="0"/>
                  <w:marRight w:val="0"/>
                  <w:marTop w:val="0"/>
                  <w:marBottom w:val="0"/>
                  <w:divBdr>
                    <w:top w:val="none" w:sz="0" w:space="0" w:color="auto"/>
                    <w:left w:val="none" w:sz="0" w:space="0" w:color="auto"/>
                    <w:bottom w:val="none" w:sz="0" w:space="0" w:color="auto"/>
                    <w:right w:val="none" w:sz="0" w:space="0" w:color="auto"/>
                  </w:divBdr>
                  <w:divsChild>
                    <w:div w:id="186143279">
                      <w:marLeft w:val="0"/>
                      <w:marRight w:val="0"/>
                      <w:marTop w:val="0"/>
                      <w:marBottom w:val="0"/>
                      <w:divBdr>
                        <w:top w:val="none" w:sz="0" w:space="0" w:color="auto"/>
                        <w:left w:val="none" w:sz="0" w:space="0" w:color="auto"/>
                        <w:bottom w:val="none" w:sz="0" w:space="0" w:color="auto"/>
                        <w:right w:val="none" w:sz="0" w:space="0" w:color="auto"/>
                      </w:divBdr>
                      <w:divsChild>
                        <w:div w:id="255331846">
                          <w:marLeft w:val="0"/>
                          <w:marRight w:val="0"/>
                          <w:marTop w:val="0"/>
                          <w:marBottom w:val="0"/>
                          <w:divBdr>
                            <w:top w:val="none" w:sz="0" w:space="0" w:color="auto"/>
                            <w:left w:val="none" w:sz="0" w:space="0" w:color="auto"/>
                            <w:bottom w:val="none" w:sz="0" w:space="0" w:color="auto"/>
                            <w:right w:val="none" w:sz="0" w:space="0" w:color="auto"/>
                          </w:divBdr>
                          <w:divsChild>
                            <w:div w:id="1610818059">
                              <w:marLeft w:val="0"/>
                              <w:marRight w:val="0"/>
                              <w:marTop w:val="0"/>
                              <w:marBottom w:val="0"/>
                              <w:divBdr>
                                <w:top w:val="none" w:sz="0" w:space="0" w:color="auto"/>
                                <w:left w:val="none" w:sz="0" w:space="0" w:color="auto"/>
                                <w:bottom w:val="none" w:sz="0" w:space="0" w:color="auto"/>
                                <w:right w:val="none" w:sz="0" w:space="0" w:color="auto"/>
                              </w:divBdr>
                              <w:divsChild>
                                <w:div w:id="752698268">
                                  <w:marLeft w:val="0"/>
                                  <w:marRight w:val="0"/>
                                  <w:marTop w:val="0"/>
                                  <w:marBottom w:val="0"/>
                                  <w:divBdr>
                                    <w:top w:val="none" w:sz="0" w:space="0" w:color="auto"/>
                                    <w:left w:val="none" w:sz="0" w:space="0" w:color="auto"/>
                                    <w:bottom w:val="none" w:sz="0" w:space="0" w:color="auto"/>
                                    <w:right w:val="none" w:sz="0" w:space="0" w:color="auto"/>
                                  </w:divBdr>
                                  <w:divsChild>
                                    <w:div w:id="2036616679">
                                      <w:marLeft w:val="0"/>
                                      <w:marRight w:val="0"/>
                                      <w:marTop w:val="0"/>
                                      <w:marBottom w:val="0"/>
                                      <w:divBdr>
                                        <w:top w:val="none" w:sz="0" w:space="0" w:color="auto"/>
                                        <w:left w:val="none" w:sz="0" w:space="0" w:color="auto"/>
                                        <w:bottom w:val="none" w:sz="0" w:space="0" w:color="auto"/>
                                        <w:right w:val="none" w:sz="0" w:space="0" w:color="auto"/>
                                      </w:divBdr>
                                      <w:divsChild>
                                        <w:div w:id="572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224314">
      <w:bodyDiv w:val="1"/>
      <w:marLeft w:val="0"/>
      <w:marRight w:val="0"/>
      <w:marTop w:val="0"/>
      <w:marBottom w:val="0"/>
      <w:divBdr>
        <w:top w:val="none" w:sz="0" w:space="0" w:color="auto"/>
        <w:left w:val="none" w:sz="0" w:space="0" w:color="auto"/>
        <w:bottom w:val="none" w:sz="0" w:space="0" w:color="auto"/>
        <w:right w:val="none" w:sz="0" w:space="0" w:color="auto"/>
      </w:divBdr>
    </w:div>
    <w:div w:id="1720856147">
      <w:bodyDiv w:val="1"/>
      <w:marLeft w:val="0"/>
      <w:marRight w:val="0"/>
      <w:marTop w:val="0"/>
      <w:marBottom w:val="0"/>
      <w:divBdr>
        <w:top w:val="none" w:sz="0" w:space="0" w:color="auto"/>
        <w:left w:val="none" w:sz="0" w:space="0" w:color="auto"/>
        <w:bottom w:val="none" w:sz="0" w:space="0" w:color="auto"/>
        <w:right w:val="none" w:sz="0" w:space="0" w:color="auto"/>
      </w:divBdr>
    </w:div>
    <w:div w:id="21076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a.Abdinasir@centreformentalhealt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Jones\Downloads\Word%20doc%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bfa67c-0110-4c73-a010-21933f890482" xsi:nil="true"/>
    <lcf76f155ced4ddcb4097134ff3c332f xmlns="85cb447b-6197-45ae-8de8-76b974df3c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208EA3A149409BBD4E41C7D739C7" ma:contentTypeVersion="20" ma:contentTypeDescription="Create a new document." ma:contentTypeScope="" ma:versionID="84ce20f4932575ddd3cd71cbe8b32efb">
  <xsd:schema xmlns:xsd="http://www.w3.org/2001/XMLSchema" xmlns:xs="http://www.w3.org/2001/XMLSchema" xmlns:p="http://schemas.microsoft.com/office/2006/metadata/properties" xmlns:ns2="6cbfa67c-0110-4c73-a010-21933f890482" xmlns:ns3="85cb447b-6197-45ae-8de8-76b974df3cd6" targetNamespace="http://schemas.microsoft.com/office/2006/metadata/properties" ma:root="true" ma:fieldsID="9a00b0488583bb168dad5fc18f694d59" ns2:_="" ns3:_="">
    <xsd:import namespace="6cbfa67c-0110-4c73-a010-21933f890482"/>
    <xsd:import namespace="85cb447b-6197-45ae-8de8-76b974df3cd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a67c-0110-4c73-a010-21933f8904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8de99c9-c653-4def-8a5c-3c0090d9efae}" ma:internalName="TaxCatchAll" ma:showField="CatchAllData" ma:web="6cbfa67c-0110-4c73-a010-21933f8904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b447b-6197-45ae-8de8-76b974df3cd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e73992-9d5b-4379-bd37-c1c1f1b8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DHS23</b:Tag>
    <b:SourceType>Report</b:SourceType>
    <b:Guid>{B31F0BC4-6A33-4192-9B57-D88CA447FB05}</b:Guid>
    <b:Author>
      <b:Author>
        <b:Corporate>DHSC</b:Corporate>
      </b:Author>
    </b:Author>
    <b:Title>Mental Health and Wellbeing Plan: Discussion Paper</b:Title>
    <b:Year>2023</b:Year>
    <b:Publisher>Department of Health and Social Care</b:Publisher>
    <b:City>London</b:City>
    <b:RefOrder>1</b:RefOrder>
  </b:Source>
  <b:Source>
    <b:Tag>Cre22</b:Tag>
    <b:SourceType>JournalArticle</b:SourceType>
    <b:Guid>{F5A6E343-88B7-4121-B755-ADBBEADB469C}</b:Guid>
    <b:Title>Mental Health and Mental Wellbeing Impact Asessment Frameworks - A Systematic Review</b:Title>
    <b:Year>2022</b:Year>
    <b:JournalName>International Journal of Environmental Research and Public Health</b:JournalName>
    <b:Pages>13985</b:Pages>
    <b:Volume>19</b:Volume>
    <b:Issue>21</b:Issue>
    <b:Author>
      <b:Author>
        <b:NameList>
          <b:Person>
            <b:Last>Cresswell-Smith</b:Last>
            <b:First>Johanna</b:First>
          </b:Person>
          <b:Person>
            <b:Last>Kauppinen</b:Last>
            <b:First>Tapani</b:First>
          </b:Person>
          <b:Person>
            <b:Last>Laaksoharju</b:Last>
            <b:First>Taina</b:First>
          </b:Person>
          <b:Person>
            <b:Last>Rotko</b:Last>
            <b:First>Tuulia</b:First>
          </b:Person>
          <b:Person>
            <b:Last>Solin</b:Last>
            <b:First>Pia</b:First>
          </b:Person>
          <b:Person>
            <b:Last>Suvisaari</b:Last>
            <b:First>Jaana</b:First>
          </b:Person>
          <b:Person>
            <b:Last>Wahlbeck</b:Last>
            <b:First>Kristian</b:First>
          </b:Person>
          <b:Person>
            <b:Last>Tamminen</b:Last>
            <b:First>Nina</b:First>
          </b:Person>
        </b:NameList>
      </b:Author>
    </b:Author>
    <b:RefOrder>2</b:RefOrder>
  </b:Source>
  <b:Source>
    <b:Tag>Mar10</b:Tag>
    <b:SourceType>Report</b:SourceType>
    <b:Guid>{3CCBF9D2-A270-4485-A808-5A7532317312}</b:Guid>
    <b:Title>Fair Society, Healthy Lives : the Marmot Review : Strategic Review of Health Inequalities in England post 2010</b:Title>
    <b:Year>2010</b:Year>
    <b:City>London</b:City>
    <b:Author>
      <b:Author>
        <b:NameList>
          <b:Person>
            <b:Last>Marmot</b:Last>
            <b:First>Michael</b:First>
          </b:Person>
        </b:NameList>
      </b:Author>
    </b:Author>
    <b:RefOrder>3</b:RefOrder>
  </b:Source>
  <b:Source>
    <b:Tag>Cen23</b:Tag>
    <b:SourceType>Report</b:SourceType>
    <b:Guid>{94553890-7262-4B6C-9EA4-AE77D8CC0015}</b:Guid>
    <b:Title>A Mentally Healthier Nation</b:Title>
    <b:Year>2023</b:Year>
    <b:City>London</b:City>
    <b:Author>
      <b:Author>
        <b:Corporate>Centre for Mental Health</b:Corporate>
      </b:Author>
    </b:Author>
    <b:RefOrder>4</b:RefOrder>
  </b:Source>
  <b:Source>
    <b:Tag>GLo18</b:Tag>
    <b:SourceType>JournalArticle</b:SourceType>
    <b:Guid>{DA01D62B-8799-4CEC-9FF9-9760E149AD16}</b:Guid>
    <b:Title>GBD 2017: a fragile world</b:Title>
    <b:Year>2018</b:Year>
    <b:Author>
      <b:Author>
        <b:Corporate>GBD</b:Corporate>
      </b:Author>
    </b:Author>
    <b:JournalName>The Lancet</b:JournalName>
    <b:Pages>1683</b:Pages>
    <b:Volume>392</b:Volume>
    <b:Issue>10159</b:Issue>
    <b:RefOrder>5</b:RefOrder>
  </b:Source>
  <b:Source>
    <b:Tag>OHI22</b:Tag>
    <b:SourceType>InternetSite</b:SourceType>
    <b:Guid>{0F541339-CAEA-4BE8-A60F-0217F82A99C5}</b:Guid>
    <b:Title>Welleing and Mental Health: Applying All Our Health</b:Title>
    <b:Year>2022</b:Year>
    <b:Author>
      <b:Author>
        <b:Corporate>OHID</b:Corporate>
      </b:Author>
    </b:Author>
    <b:YearAccessed>2024</b:YearAccessed>
    <b:MonthAccessed>February</b:MonthAccessed>
    <b:DayAccessed>13</b:DayAccessed>
    <b:URL>https://www.gov.uk/government/publications/wellbeing-in-mental-health-applying-all-our-health/wellbeing-in-mental-health-applying-all-our-health</b:URL>
    <b:RefOrder>6</b:RefOrder>
  </b:Source>
  <b:Source>
    <b:Tag>Men22</b:Tag>
    <b:SourceType>InternetSite</b:SourceType>
    <b:Guid>{7C5930D4-7D28-40B2-9E43-0BB348464A03}</b:Guid>
    <b:Title>Mental health problems cost UK economy at least GDP 118 billion a year - new research</b:Title>
    <b:Year>2022</b:Year>
    <b:Author>
      <b:Author>
        <b:Corporate>Mental Health Foundation</b:Corporate>
      </b:Author>
    </b:Author>
    <b:YearAccessed>2024</b:YearAccessed>
    <b:MonthAccessed>February</b:MonthAccessed>
    <b:DayAccessed>26</b:DayAccessed>
    <b:URL>https://www.mentalhealth.org.uk/about-us/news/mental-health-problems-cost-uk-economy-least-gbp-118-billion-year-new-research</b:URL>
    <b:RefOrder>7</b:RefOrder>
  </b:Source>
  <b:Source>
    <b:Tag>ONS22</b:Tag>
    <b:SourceType>Report</b:SourceType>
    <b:Guid>{B54DEBBF-4F0C-4404-AB4F-07A864FFAB08}</b:Guid>
    <b:Author>
      <b:Author>
        <b:Corporate>ONS</b:Corporate>
      </b:Author>
    </b:Author>
    <b:Title>Labour Force Survey Annual Summary 2021</b:Title>
    <b:Year>2022</b:Year>
    <b:Publisher>Office of National Statistics</b:Publisher>
    <b:City>London</b:City>
    <b:RefOrder>8</b:RefOrder>
  </b:Source>
  <b:Source>
    <b:Tag>McN24</b:Tag>
    <b:SourceType>Interview</b:SourceType>
    <b:Guid>{FA597084-9F91-48A0-A5FE-AA75B2C1875C}</b:Guid>
    <b:Title>Interview with Centre for Mental Health</b:Title>
    <b:Year>2024</b:Year>
    <b:Month>February</b:Month>
    <b:Author>
      <b:Interviewee>
        <b:NameList>
          <b:Person>
            <b:Last>McNally</b:Last>
            <b:First>Lisa</b:First>
          </b:Person>
        </b:NameList>
      </b:Interviewee>
    </b:Author>
    <b:RefOrder>9</b:RefOrder>
  </b:Source>
  <b:Source>
    <b:Tag>Edm17</b:Tag>
    <b:SourceType>DocumentFromInternetSite</b:SourceType>
    <b:Guid>{3CDCFC46-55B0-4FB9-9AF6-FA01AE12155F}</b:Guid>
    <b:Title>Introduction to Mental Wellbeing Impact Assessment (presentation)</b:Title>
    <b:Year>2017</b:Year>
    <b:Month>September</b:Month>
    <b:Day>25</b:Day>
    <b:YearAccessed>2024</b:YearAccessed>
    <b:MonthAccessed>February</b:MonthAccessed>
    <b:DayAccessed>13</b:DayAccessed>
    <b:URL>https://q.health.org.uk/document/introduction-to-mental-wellbeing-impact-assessment-presentation/</b:URL>
    <b:Author>
      <b:Author>
        <b:NameList>
          <b:Person>
            <b:Last>Edmonds</b:Last>
            <b:First>Nerys</b:First>
          </b:Person>
        </b:NameList>
      </b:Author>
    </b:Author>
    <b:RefOrder>10</b:RefOrder>
  </b:Source>
  <b:Source>
    <b:Tag>Nat12</b:Tag>
    <b:SourceType>InternetSite</b:SourceType>
    <b:Guid>{21EBBF3B-FA93-468B-B294-26DE4AB06570}</b:Guid>
    <b:Author>
      <b:Author>
        <b:Corporate>National MWIA Collaborative</b:Corporate>
      </b:Author>
    </b:Author>
    <b:Title>Mental Well-being Impact Assessment</b:Title>
    <b:Year>2012</b:Year>
    <b:YearAccessed>2024</b:YearAccessed>
    <b:MonthAccessed>February</b:MonthAccessed>
    <b:DayAccessed>12</b:DayAccessed>
    <b:URL>https://healthycampuses.ca/wp-content/uploads/2014/07/MentalWellbeingImpactAssessmentAtoolkitforwellbe-1.pdf</b:URL>
    <b:RefOrder>11</b:RefOrder>
  </b:Source>
  <b:Source>
    <b:Tag>Hol09</b:Tag>
    <b:SourceType>Report</b:SourceType>
    <b:Guid>{8DA8572D-947E-4574-A01A-634108654229}</b:Guid>
    <b:Title>Mental Well-being Impact Assessment (MWIA) of Projects funded by Target:wellbeing</b:Title>
    <b:Year>2009</b:Year>
    <b:Publisher>International Health Impact Assessment Consortium</b:Publisher>
    <b:City>Liverpool</b:City>
    <b:Author>
      <b:Author>
        <b:NameList>
          <b:Person>
            <b:Last>Holmes</b:Last>
            <b:First>Louise</b:First>
          </b:Person>
          <b:Person>
            <b:Last>West</b:Last>
            <b:First>Helen</b:First>
          </b:Person>
          <b:Person>
            <b:Last>Dreaves</b:Last>
            <b:First>Hillary</b:First>
          </b:Person>
        </b:NameList>
      </b:Author>
    </b:Author>
    <b:RefOrder>12</b:RefOrder>
  </b:Source>
  <b:Source>
    <b:Tag>McD15</b:Tag>
    <b:SourceType>JournalArticle</b:SourceType>
    <b:Guid>{5D1D1447-2305-4907-AA48-D9BC86007034}</b:Guid>
    <b:Title>Working Through Bound Liberation: A community Engagement Framework for Health PArtnerships</b:Title>
    <b:JournalName>Progress in Community Health Partnerships Research Education and Action.</b:JournalName>
    <b:Year>2015</b:Year>
    <b:Pages>465-470</b:Pages>
    <b:Volume>8</b:Volume>
    <b:Author>
      <b:Author>
        <b:NameList>
          <b:Person>
            <b:Last>McDowell</b:Last>
            <b:Middle>L</b:Middle>
            <b:First>T </b:First>
          </b:Person>
          <b:Person>
            <b:Last>Moore</b:Last>
            <b:First>N</b:First>
          </b:Person>
          <b:Person>
            <b:Last>Holland</b:Last>
            <b:Middle>N</b:Middle>
            <b:First>J</b:First>
          </b:Person>
        </b:NameList>
      </b:Author>
    </b:Author>
    <b:RefOrder>13</b:RefOrder>
  </b:Source>
  <b:Source>
    <b:Tag>Cra22</b:Tag>
    <b:SourceType>JournalArticle</b:SourceType>
    <b:Guid>{7460EBD8-355E-4498-A2C1-4DA80488BC39}</b:Guid>
    <b:Title>Evaluation of the Mental Health Impacts of Universal Credit: Protocol for a Mixed Methods Study</b:Title>
    <b:JournalName>BMJ Open</b:JournalName>
    <b:Year>2022</b:Year>
    <b:Pages>ee061340</b:Pages>
    <b:Volume>12</b:Volume>
    <b:Author>
      <b:Author>
        <b:NameList>
          <b:Person>
            <b:Last>Craig</b:Last>
            <b:First>P</b:First>
          </b:Person>
          <b:Person>
            <b:Last>Barr</b:Last>
            <b:First>B</b:First>
          </b:Person>
          <b:Person>
            <b:Last>Baxter</b:Last>
            <b:Middle>J</b:Middle>
            <b:First>A</b:First>
          </b:Person>
          <b:Person>
            <b:Last>Brown</b:Last>
            <b:First>H</b:First>
          </b:Person>
          <b:Person>
            <b:Last>Cheetham</b:Last>
            <b:First>M</b:First>
          </b:Person>
          <b:Person>
            <b:Last>Gibson</b:Last>
            <b:First>M</b:First>
          </b:Person>
          <b:Person>
            <b:Last>Katikireddi</b:Last>
            <b:Middle>V</b:Middle>
            <b:First>S</b:First>
          </b:Person>
          <b:Person>
            <b:Last>Moffatt</b:Last>
            <b:First>S</b:First>
          </b:Person>
          <b:Person>
            <b:Last>Morris</b:Last>
            <b:First>S</b:First>
          </b:Person>
          <b:Person>
            <b:Last>Munford</b:Last>
            <b:Middle>A</b:Middle>
            <b:First>L</b:First>
          </b:Person>
        </b:NameList>
      </b:Author>
    </b:Author>
    <b:RefOrder>14</b:RefOrder>
  </b:Source>
  <b:Source>
    <b:Tag>Dir17</b:Tag>
    <b:SourceType>Report</b:SourceType>
    <b:Guid>{B401A0C4-1F4A-4207-AA98-46884941CF08}</b:Guid>
    <b:Author>
      <b:Author>
        <b:Corporate>Directorate-General for Health and Food Safety</b:Corporate>
      </b:Author>
    </b:Author>
    <b:Title>Mental Health in All Policies</b:Title>
    <b:Year>2017</b:Year>
    <b:Publisher>European Commission</b:Publisher>
    <b:City>Brussels</b:City>
    <b:RefOrder>15</b:RefOrder>
  </b:Source>
  <b:Source>
    <b:Tag>Wel17</b:Tag>
    <b:SourceType>InternetSite</b:SourceType>
    <b:Guid>{32361E7D-00A1-40A2-8D17-D7DC53A902AB}</b:Guid>
    <b:Title>New adult gender identity service to be established in Wales</b:Title>
    <b:Year>2017</b:Year>
    <b:Author>
      <b:Author>
        <b:Corporate>Welsh Government</b:Corporate>
      </b:Author>
    </b:Author>
    <b:YearAccessed>2024</b:YearAccessed>
    <b:MonthAccessed>02</b:MonthAccessed>
    <b:DayAccessed>13</b:DayAccessed>
    <b:URL>https://www.gov.wales/new-adult-gender-identity-service-be-established-wales-0</b:URL>
    <b:RefOrder>16</b:RefOrder>
  </b:Source>
  <b:Source>
    <b:Tag>NHS23</b:Tag>
    <b:SourceType>InternetSite</b:SourceType>
    <b:Guid>{BA8EC1B0-F1F6-41FF-8A86-76C00E6378F8}</b:Guid>
    <b:Title>Mental Health Services</b:Title>
    <b:Year>2023</b:Year>
    <b:YearAccessed>2024</b:YearAccessed>
    <b:MonthAccessed>February</b:MonthAccessed>
    <b:DayAccessed>13</b:DayAccessed>
    <b:URL>https://www.shropshiretelfordandwrekin.nhs.uk/your-health/where-to-get-advice-and-help/mental-health-services/</b:URL>
    <b:Author>
      <b:Author>
        <b:Corporate>NHS Telford, Shropshire and Wrekin</b:Corporate>
      </b:Author>
    </b:Author>
    <b:RefOrder>17</b:RefOrder>
  </b:Source>
  <b:Source>
    <b:Tag>Wor22</b:Tag>
    <b:SourceType>InternetSite</b:SourceType>
    <b:Guid>{10EE685C-F330-4F9E-A45F-C906F6769EC2}</b:Guid>
    <b:Author>
      <b:Author>
        <b:Corporate>Worcestershire's Health and Wellbeing Board</b:Corporate>
      </b:Author>
    </b:Author>
    <b:Title>Health and Wellbeing Strategy 2022 to 2032</b:Title>
    <b:Year>2022</b:Year>
    <b:YearAccessed>2024</b:YearAccessed>
    <b:MonthAccessed>February</b:MonthAccessed>
    <b:DayAccessed>13</b:DayAccessed>
    <b:URL>https://www.worcestershire.gov.uk/council-services/health-and-wellbeing/health-and-wellbeing-board/health-and-wellbeing-strategy-2022</b:URL>
    <b:RefOrder>18</b:RefOrder>
  </b:Source>
  <b:Source>
    <b:Tag>Kin24</b:Tag>
    <b:SourceType>Report</b:SourceType>
    <b:Guid>{98432B0D-5762-40BA-9BCD-A68ABD850609}</b:Guid>
    <b:Author>
      <b:Author>
        <b:NameList>
          <b:Person>
            <b:Last>King</b:Last>
            <b:First>S</b:First>
          </b:Person>
        </b:NameList>
      </b:Author>
    </b:Author>
    <b:Title>How Effective is Mental Well-being Impact Assessment?</b:Title>
    <b:Year>2014</b:Year>
    <b:Publisher>Tavistock Institute</b:Publisher>
    <b:City>London</b:City>
    <b:RefOrder>19</b:RefOrder>
  </b:Source>
  <b:Source>
    <b:Tag>Dep22</b:Tag>
    <b:SourceType>InternetSite</b:SourceType>
    <b:Guid>{D39A41C1-EB57-446A-B050-F723A20F2367}</b:Guid>
    <b:Title>DHSC: evaluation strategy</b:Title>
    <b:Year>2022</b:Year>
    <b:YearAccessed>2024</b:YearAccessed>
    <b:MonthAccessed>February</b:MonthAccessed>
    <b:DayAccessed>12</b:DayAccessed>
    <b:URL>https://www.gov.uk/government/publications/dhsc-evaluation-strategy/dhsc-evaluation-strategy</b:URL>
    <b:Author>
      <b:Author>
        <b:Corporate>DHSC</b:Corporate>
      </b:Author>
    </b:Author>
    <b:RefOrder>16</b:RefOrder>
  </b:Source>
  <b:Source>
    <b:Tag>DHS22</b:Tag>
    <b:SourceType>InternetSite</b:SourceType>
    <b:Guid>{A0F0F78B-5F45-4912-A314-14DA44B52CD3}</b:Guid>
    <b:Author>
      <b:Author>
        <b:Corporate>DHSC</b:Corporate>
      </b:Author>
    </b:Author>
    <b:Title>50,000 Nurses Programme: delivery update</b:Title>
    <b:Year>2022</b:Year>
    <b:YearAccessed>2024</b:YearAccessed>
    <b:MonthAccessed>February</b:MonthAccessed>
    <b:DayAccessed>19</b:DayAccessed>
    <b:URL>https://www.gov.uk/government/publications/50000-nurses-programme-delivery-update/50000-nurses-programme-delivery-update#overview-of-the-programme</b:URL>
    <b:RefOrder>17</b:RefOrder>
  </b:Source>
  <b:Source>
    <b:Tag>HMT23</b:Tag>
    <b:SourceType>InternetSite</b:SourceType>
    <b:Guid>{126667EF-0029-4635-8E2A-6352C103576B}</b:Guid>
    <b:Author>
      <b:Author>
        <b:Corporate>HM Treasury</b:Corporate>
      </b:Author>
    </b:Author>
    <b:Title>Spring Budget 2023 factsheet - Disability White Paper</b:Title>
    <b:Year>2023</b:Year>
    <b:YearAccessed>2024</b:YearAccessed>
    <b:MonthAccessed>February</b:MonthAccessed>
    <b:DayAccessed>19</b:DayAccessed>
    <b:URL>https://www.gov.uk/government/publications/spring-budget-2023-disability-white-paper-factsheet/spring-budget-2023-factsheet-disability-white-paper</b:URL>
    <b:RefOrder>22</b:RefOrder>
  </b:Source>
  <b:Source>
    <b:Tag>Fur23</b:Tag>
    <b:SourceType>Report</b:SourceType>
    <b:Guid>{98E0DC0D-B6B1-4756-AB0E-61FB29EAF504}</b:Guid>
    <b:Title>Reassessing Assessments</b:Title>
    <b:Year>2023</b:Year>
    <b:Publisher>Mind</b:Publisher>
    <b:City>London</b:City>
    <b:Author>
      <b:Author>
        <b:NameList>
          <b:Person>
            <b:Last>Furber</b:Last>
            <b:First>Charlotte</b:First>
          </b:Person>
        </b:NameList>
      </b:Author>
    </b:Author>
    <b:RefOrder>23</b:RefOrder>
  </b:Source>
  <b:Source>
    <b:Tag>Min23</b:Tag>
    <b:SourceType>InternetSite</b:SourceType>
    <b:Guid>{3C1D014C-09D0-4460-A8E3-87A04A04518E}</b:Guid>
    <b:Title>Scrapping Work Capability Assesments could lead to even more broken benefits system</b:Title>
    <b:Year>2023</b:Year>
    <b:Author>
      <b:Author>
        <b:Corporate>Mind</b:Corporate>
      </b:Author>
    </b:Author>
    <b:YearAccessed>2024</b:YearAccessed>
    <b:MonthAccessed>February</b:MonthAccessed>
    <b:DayAccessed>19</b:DayAccessed>
    <b:URL>https://www.mind.org.uk/news-campaigns/news/scrapping-work-capability-assessments-could-lead-to-even-more-broken-benefits-system/</b:URL>
    <b:RefOrder>24</b:RefOrder>
  </b:Source>
  <b:Source>
    <b:Tag>Dep</b:Tag>
    <b:SourceType>Report</b:SourceType>
    <b:Guid>{77A958F8-01A0-497F-8D85-A033B737D60B}</b:Guid>
    <b:Author>
      <b:Author>
        <b:Corporate>Department for Work and Pensions</b:Corporate>
      </b:Author>
    </b:Author>
    <b:Title>Universal Credit: Welfare that works</b:Title>
    <b:Year>2010</b:Year>
    <b:Publisher>HM Government</b:Publisher>
    <b:City>London</b:City>
    <b:RefOrder>25</b:RefOrder>
  </b:Source>
  <b:Source>
    <b:Tag>Wic20</b:Tag>
    <b:SourceType>JournalArticle</b:SourceType>
    <b:Guid>{6E2D1F49-023A-45AD-9C9D-51FED9705DC7}</b:Guid>
    <b:Title>Effects of mental health of a uk welfore reform, Universal Credit: a longitudinal controlled study</b:Title>
    <b:Year>2020</b:Year>
    <b:Author>
      <b:Author>
        <b:NameList>
          <b:Person>
            <b:Last>Wickham</b:Last>
            <b:First>Sophie</b:First>
          </b:Person>
          <b:Person>
            <b:Last>Bentley</b:Last>
            <b:First>Lee</b:First>
          </b:Person>
          <b:Person>
            <b:Last>Rose</b:Last>
            <b:First>Tanish</b:First>
          </b:Person>
          <b:Person>
            <b:Last>Whitehead</b:Last>
            <b:First>Margaret</b:First>
          </b:Person>
          <b:Person>
            <b:Last>Taylor-Robinson</b:Last>
            <b:First>David</b:First>
          </b:Person>
          <b:Person>
            <b:Last>Parr Ben</b:Last>
          </b:Person>
        </b:NameList>
      </b:Author>
    </b:Author>
    <b:JournalName>The Lancet, Public Health</b:JournalName>
    <b:Pages>E157-E164</b:Pages>
    <b:Volume>5</b:Volume>
    <b:Issue>3</b:Issue>
    <b:RefOrder>26</b:RefOrder>
  </b:Source>
  <b:Source>
    <b:Tag>Min24</b:Tag>
    <b:SourceType>InternetSite</b:SourceType>
    <b:Guid>{ADCC5A42-063E-454F-85CE-E2088A1FD8ED}</b:Guid>
    <b:Title>The problems with Universal Credit for people with mental health problems</b:Title>
    <b:Author>
      <b:Author>
        <b:Corporate>Mind</b:Corporate>
      </b:Author>
    </b:Author>
    <b:YearAccessed>2024</b:YearAccessed>
    <b:MonthAccessed>February</b:MonthAccessed>
    <b:DayAccessed>19</b:DayAccessed>
    <b:URL>https://www.mind.org.uk/news-campaigns/campaigns/benefits/universal-credit/</b:URL>
    <b:RefOrder>27</b:RefOrder>
  </b:Source>
  <b:Source>
    <b:Tag>HMR20</b:Tag>
    <b:SourceType>InternetSite</b:SourceType>
    <b:Guid>{3272DBC7-1737-4134-94CC-877547313504}</b:Guid>
    <b:Title>Get a discount with the Eat Out to Help Out Scheme</b:Title>
    <b:Year>2020</b:Year>
    <b:YearAccessed>2024</b:YearAccessed>
    <b:MonthAccessed>February</b:MonthAccessed>
    <b:DayAccessed>26</b:DayAccessed>
    <b:URL>https://www.gov.uk/guidance/get-a-discount-with-the-eat-out-to-help-out-scheme</b:URL>
    <b:Author>
      <b:Author>
        <b:Corporate>HM Revenue &amp; Customs</b:Corporate>
      </b:Author>
    </b:Author>
    <b:RefOrder>28</b:RefOrder>
  </b:Source>
  <b:Source>
    <b:Tag>Fet20</b:Tag>
    <b:SourceType>Report</b:SourceType>
    <b:Guid>{46209283-9730-41FB-8531-E2ED94484809}</b:Guid>
    <b:Title>Subsidizing the spread of COVID19: Evidence from the UK's Eat-Out-to-Help-Out scheme</b:Title>
    <b:Year>2020</b:Year>
    <b:Author>
      <b:Author>
        <b:NameList>
          <b:Person>
            <b:Last>Fetzer</b:Last>
            <b:First>Thiemo</b:First>
          </b:Person>
        </b:NameList>
      </b:Author>
    </b:Author>
    <b:Publisher>The University of Warwick</b:Publisher>
    <b:City>Coventry</b:City>
    <b:RefOrder>29</b:RefOrder>
  </b:Source>
  <b:Source>
    <b:Tag>OCo20</b:Tag>
    <b:SourceType>JournalArticle</b:SourceType>
    <b:Guid>{63776540-BFB3-41AD-BD78-84864A4B8180}</b:Guid>
    <b:Title>Mental health and well-being during the COVID-19 pandemic: longitudinal analyses of adults in the UK COVID-19 Mental Health and Wellbeing study</b:Title>
    <b:Year>2020</b:Year>
    <b:JournalName>The British Journal of Psychiatry</b:JournalName>
    <b:Pages>326-333</b:Pages>
    <b:Volume>218</b:Volume>
    <b:Author>
      <b:Author>
        <b:NameList>
          <b:Person>
            <b:Last>O'Connor</b:Last>
            <b:First>Rory</b:First>
          </b:Person>
          <b:Person>
            <b:Last>Wtherall</b:Last>
            <b:First>Karen</b:First>
          </b:Person>
          <b:Person>
            <b:Last>Cleare</b:Last>
            <b:First>Seonaid</b:First>
          </b:Person>
          <b:Person>
            <b:Last>McClelland</b:Last>
            <b:First>Heather</b:First>
          </b:Person>
          <b:Person>
            <b:Last>Melson</b:Last>
            <b:Middle>J</b:Middle>
            <b:First>Ambrose</b:First>
          </b:Person>
          <b:Person>
            <b:Last>Niedzwiedz</b:Last>
            <b:Middle>L</b:Middle>
            <b:First>Claire</b:First>
          </b:Person>
          <b:Person>
            <b:Last>O'Carroll</b:Last>
            <b:Middle>E</b:Middle>
            <b:First>Ronan</b:First>
          </b:Person>
          <b:Person>
            <b:Last>O'Connor</b:Last>
            <b:Middle>B</b:Middle>
            <b:First>Daryl</b:First>
          </b:Person>
          <b:Person>
            <b:Last>Platt</b:Last>
            <b:First>Steve</b:First>
          </b:Person>
          <b:Person>
            <b:Last>Scowcroft</b:Last>
            <b:First>Elizabeth</b:First>
          </b:Person>
          <b:Person>
            <b:Last>Watson</b:Last>
            <b:First>Billy</b:First>
          </b:Person>
          <b:Person>
            <b:Last>Zortega</b:Last>
            <b:First>Tiago</b:First>
          </b:Person>
          <b:Person>
            <b:Last>Ferguson</b:Last>
            <b:First>Eamonn</b:First>
          </b:Person>
          <b:Person>
            <b:Last>Robb</b:Last>
            <b:Middle>A</b:Middle>
            <b:First>Kathryn</b:First>
          </b:Person>
        </b:NameList>
      </b:Author>
    </b:Author>
    <b:RefOrder>30</b:RefOrder>
  </b:Source>
  <b:Source>
    <b:Tag>Ver21</b:Tag>
    <b:SourceType>Report</b:SourceType>
    <b:Guid>{9EB16FE5-CF9F-41AB-A161-06D2133F7EFC}</b:Guid>
    <b:Title>Needs Assessment: Adult Mental Health and Wellbeing</b:Title>
    <b:Year>2021</b:Year>
    <b:Author>
      <b:Author>
        <b:NameList>
          <b:Person>
            <b:Last>Vernon</b:Last>
            <b:First>Duncan</b:First>
          </b:Person>
          <b:Person>
            <b:Last>van de Venter</b:Last>
            <b:First>Emily</b:First>
          </b:Person>
        </b:NameList>
      </b:Author>
    </b:Author>
    <b:Publisher>Coventry and Warwickshire Joint Stratewgic Needs Assessment</b:Publisher>
    <b:City>Warwick </b:City>
    <b:RefOrder>31</b:RefOrder>
  </b:Source>
  <b:Source>
    <b:Tag>Woo13</b:Tag>
    <b:SourceType>JournalArticle</b:SourceType>
    <b:Guid>{66961768-069A-4DF9-A4E9-D9FAA4C7BCF0}</b:Guid>
    <b:Title>Health Impact Modelling of Active Travel Visions for England and Wales Using an Integrated Transport and Health Impact Modelling Tool</b:Title>
    <b:JournalName>PLOS One</b:JournalName>
    <b:Year>2013</b:Year>
    <b:Pages>e51462</b:Pages>
    <b:Volume>8</b:Volume>
    <b:Issue>1</b:Issue>
    <b:Author>
      <b:Author>
        <b:NameList>
          <b:Person>
            <b:Last>Woodcock</b:Last>
            <b:First>James</b:First>
          </b:Person>
          <b:Person>
            <b:Last>Givoni</b:Last>
            <b:First>Moshe</b:First>
          </b:Person>
          <b:Person>
            <b:Last>Morgan</b:Last>
            <b:Middle>Scott</b:Middle>
            <b:First>Andrei</b:First>
          </b:Person>
        </b:NameList>
      </b:Author>
    </b:Author>
    <b:RefOrder>32</b:RefOrder>
  </b:Source>
  <b:Source>
    <b:Tag>Gre21</b:Tag>
    <b:SourceType>JournalArticle</b:SourceType>
    <b:Guid>{528CE0C0-30E1-455B-BBA8-1264C8562557}</b:Guid>
    <b:Title>'Health in All Policies' - A Key Driver for Health and Well-Being in a Post-COVID-19 Pandemic World</b:Title>
    <b:Year>2021</b:Year>
    <b:JournalName>International Journal of Environmental Research and Public Health</b:JournalName>
    <b:Pages>9468</b:Pages>
    <b:Volume>18</b:Volume>
    <b:Issue>18</b:Issue>
    <b:Author>
      <b:Author>
        <b:NameList>
          <b:Person>
            <b:Last>Green</b:Last>
            <b:First>Liz</b:First>
          </b:Person>
          <b:Person>
            <b:Last>Ashton</b:Last>
            <b:First>Kathryn</b:First>
          </b:Person>
          <b:Person>
            <b:Last>Bellis</b:Last>
            <b:Middle>A</b:Middle>
            <b:First>Mark</b:First>
          </b:Person>
          <b:Person>
            <b:Last>Clemens</b:Last>
            <b:First>Timo</b:First>
          </b:Person>
          <b:Person>
            <b:Last>Douglas</b:Last>
            <b:First>Margaret</b:First>
          </b:Person>
        </b:NameList>
      </b:Author>
    </b:Author>
    <b:RefOrder>33</b:RefOrder>
  </b:Source>
  <b:Source>
    <b:Tag>Eur07</b:Tag>
    <b:SourceType>Report</b:SourceType>
    <b:Guid>{5C2DE5E9-920A-418B-A02A-90C1BFEE3D15}</b:Guid>
    <b:Author>
      <b:Author>
        <b:Corporate>European Observatory on Health Systems and Policies</b:Corporate>
      </b:Author>
    </b:Author>
    <b:Title>The Effectiveness of Health Impact Assessment: Scope and limitations of supporting decision-making in Europe</b:Title>
    <b:Year>2007</b:Year>
    <b:Publisher>World Health Organization</b:Publisher>
    <b:City>Regional Office for Europe</b:City>
    <b:RefOrder>34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4D15F-1CFF-4C01-8782-12D2F5EA3AF9}">
  <ds:schemaRefs>
    <ds:schemaRef ds:uri="http://schemas.microsoft.com/office/2006/metadata/properties"/>
    <ds:schemaRef ds:uri="http://schemas.microsoft.com/office/infopath/2007/PartnerControls"/>
    <ds:schemaRef ds:uri="6cbfa67c-0110-4c73-a010-21933f890482"/>
    <ds:schemaRef ds:uri="85cb447b-6197-45ae-8de8-76b974df3cd6"/>
  </ds:schemaRefs>
</ds:datastoreItem>
</file>

<file path=customXml/itemProps2.xml><?xml version="1.0" encoding="utf-8"?>
<ds:datastoreItem xmlns:ds="http://schemas.openxmlformats.org/officeDocument/2006/customXml" ds:itemID="{A874500C-802C-4AB1-AC18-B1D9D544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a67c-0110-4c73-a010-21933f890482"/>
    <ds:schemaRef ds:uri="85cb447b-6197-45ae-8de8-76b974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E4B7E-23C7-409C-8611-83BB01C0E5EB}">
  <ds:schemaRefs>
    <ds:schemaRef ds:uri="http://schemas.openxmlformats.org/officeDocument/2006/bibliography"/>
  </ds:schemaRefs>
</ds:datastoreItem>
</file>

<file path=customXml/itemProps4.xml><?xml version="1.0" encoding="utf-8"?>
<ds:datastoreItem xmlns:ds="http://schemas.openxmlformats.org/officeDocument/2006/customXml" ds:itemID="{52273D72-5A3C-4960-BE68-F443933E57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 template 2023</Template>
  <TotalTime>0</TotalTime>
  <Pages>6</Pages>
  <Words>2250</Words>
  <Characters>12831</Characters>
  <Application>Microsoft Office Word</Application>
  <DocSecurity>0</DocSecurity>
  <Lines>106</Lines>
  <Paragraphs>30</Paragraphs>
  <ScaleCrop>false</ScaleCrop>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Kadra Abdinasir</dc:creator>
  <cp:keywords/>
  <dc:description/>
  <cp:lastModifiedBy>Holly Jones</cp:lastModifiedBy>
  <cp:revision>3</cp:revision>
  <cp:lastPrinted>2024-11-18T12:52:00Z</cp:lastPrinted>
  <dcterms:created xsi:type="dcterms:W3CDTF">2025-05-16T14:14:00Z</dcterms:created>
  <dcterms:modified xsi:type="dcterms:W3CDTF">2025-05-16T14:14:00Z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0x010100918F208EA3A149409BBD4E41C7D739C7</vt:lpwstr>
  </property>
  <property fmtid="{D5CDD505-2E9C-101B-9397-08002B2CF9AE}" pid="3" name="MediaServiceImageTags">
    <vt:lpwstr/>
  </property>
</Properties>
</file>